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C30" w:rsidRPr="002B0D19" w:rsidRDefault="00A30C30" w:rsidP="007823F9">
      <w:pPr>
        <w:rPr>
          <w:lang w:val="fr-FR"/>
        </w:rPr>
      </w:pPr>
    </w:p>
    <w:p w:rsidR="00A30C30" w:rsidRPr="002B0D19" w:rsidRDefault="00A30C30" w:rsidP="007823F9">
      <w:pPr>
        <w:rPr>
          <w:lang w:val="fr-FR"/>
        </w:rPr>
      </w:pPr>
    </w:p>
    <w:p w:rsidR="00371E60" w:rsidRPr="002B0D19" w:rsidRDefault="00371E60" w:rsidP="007823F9">
      <w:pPr>
        <w:rPr>
          <w:lang w:val="fr-FR"/>
        </w:rPr>
      </w:pPr>
      <w:r w:rsidRPr="002B0D19">
        <w:rPr>
          <w:lang w:val="fr-FR"/>
        </w:rPr>
        <w:br/>
      </w:r>
    </w:p>
    <w:p w:rsidR="003E1F9A" w:rsidRPr="00571ED3" w:rsidRDefault="003E1F9A" w:rsidP="007823F9">
      <w:pPr>
        <w:jc w:val="right"/>
        <w:rPr>
          <w:b/>
          <w:bCs/>
          <w:lang w:val="fr-FR"/>
        </w:rPr>
      </w:pPr>
    </w:p>
    <w:p w:rsidR="00371E60" w:rsidRPr="00D47E77" w:rsidRDefault="00676311" w:rsidP="007823F9">
      <w:pPr>
        <w:jc w:val="right"/>
        <w:rPr>
          <w:b/>
          <w:bCs/>
          <w:lang w:val="fr-FR"/>
        </w:rPr>
      </w:pPr>
      <w:r>
        <w:rPr>
          <w:b/>
          <w:bCs/>
          <w:lang w:val="fr-FR"/>
        </w:rPr>
        <w:t>Auteur</w:t>
      </w:r>
    </w:p>
    <w:p w:rsidR="0080578A" w:rsidRPr="0080578A" w:rsidRDefault="0080578A" w:rsidP="0080578A">
      <w:pPr>
        <w:jc w:val="right"/>
        <w:rPr>
          <w:lang w:val="fr-FR"/>
        </w:rPr>
      </w:pPr>
      <w:r w:rsidRPr="0080578A">
        <w:rPr>
          <w:lang w:val="fr-FR"/>
        </w:rPr>
        <w:t>Charaf LOUHMADI</w:t>
      </w:r>
    </w:p>
    <w:p w:rsidR="00A30C30" w:rsidRPr="0080578A" w:rsidRDefault="0080578A" w:rsidP="0080578A">
      <w:pPr>
        <w:jc w:val="right"/>
        <w:rPr>
          <w:lang w:val="fr-FR"/>
        </w:rPr>
      </w:pPr>
      <w:r w:rsidRPr="0080578A">
        <w:rPr>
          <w:lang w:val="fr-FR"/>
        </w:rPr>
        <w:t>+33 6 63 60 13 45 / charaf.louhmadi@mpg-partners.com</w:t>
      </w:r>
      <w:r w:rsidR="00D87F0A" w:rsidRPr="0080578A">
        <w:rPr>
          <w:lang w:val="fr-FR"/>
        </w:rPr>
        <w:br/>
      </w:r>
      <w:r w:rsidR="00371E60" w:rsidRPr="0080578A">
        <w:rPr>
          <w:lang w:val="fr-FR"/>
        </w:rPr>
        <w:br/>
      </w:r>
    </w:p>
    <w:p w:rsidR="00B1531F" w:rsidRPr="0080578A" w:rsidRDefault="00A30C30" w:rsidP="007823F9">
      <w:pPr>
        <w:rPr>
          <w:lang w:val="fr-FR"/>
        </w:rPr>
      </w:pPr>
      <w:r w:rsidRPr="0080578A">
        <w:rPr>
          <w:lang w:val="fr-FR"/>
        </w:rPr>
        <w:br w:type="column"/>
      </w:r>
    </w:p>
    <w:p w:rsidR="003E1F9A" w:rsidRPr="0080578A" w:rsidRDefault="003E1F9A" w:rsidP="007823F9">
      <w:pPr>
        <w:rPr>
          <w:lang w:val="fr-FR"/>
        </w:rPr>
      </w:pPr>
    </w:p>
    <w:p w:rsidR="00B1531F" w:rsidRPr="00ED32BA" w:rsidRDefault="00E02F35" w:rsidP="00571ED3">
      <w:pPr>
        <w:pStyle w:val="Titre1"/>
        <w:rPr>
          <w:lang w:val="fr-FR"/>
        </w:rPr>
      </w:pPr>
      <w:r w:rsidRPr="00ED32BA">
        <w:rPr>
          <w:lang w:val="fr-FR"/>
        </w:rPr>
        <w:t>MPG Overview</w:t>
      </w:r>
      <w:r w:rsidR="0021623D" w:rsidRPr="00ED32BA">
        <w:rPr>
          <w:lang w:val="fr-FR"/>
        </w:rPr>
        <w:t xml:space="preserve">: </w:t>
      </w:r>
      <w:r w:rsidR="000A70F0" w:rsidRPr="00ED32BA">
        <w:rPr>
          <w:lang w:val="fr-FR"/>
        </w:rPr>
        <w:t>Institutional change</w:t>
      </w:r>
    </w:p>
    <w:p w:rsidR="00B1531F" w:rsidRPr="00ED32BA" w:rsidRDefault="004E76EF" w:rsidP="007823F9">
      <w:pPr>
        <w:rPr>
          <w:lang w:val="fr-FR"/>
        </w:rPr>
      </w:pPr>
      <w:r w:rsidRPr="003F43FE">
        <w:rPr>
          <w:noProof/>
          <w:lang w:val="fr-FR" w:eastAsia="fr-FR"/>
        </w:rPr>
        <mc:AlternateContent>
          <mc:Choice Requires="wps">
            <w:drawing>
              <wp:anchor distT="0" distB="0" distL="114300" distR="114300" simplePos="0" relativeHeight="251656704" behindDoc="0" locked="0" layoutInCell="1" allowOverlap="1">
                <wp:simplePos x="0" y="0"/>
                <wp:positionH relativeFrom="column">
                  <wp:posOffset>30480</wp:posOffset>
                </wp:positionH>
                <wp:positionV relativeFrom="paragraph">
                  <wp:posOffset>50165</wp:posOffset>
                </wp:positionV>
                <wp:extent cx="4171950" cy="101600"/>
                <wp:effectExtent l="0" t="0" r="0" b="0"/>
                <wp:wrapNone/>
                <wp:docPr id="6" name="Rectangle 6"/>
                <wp:cNvGraphicFramePr/>
                <a:graphic xmlns:a="http://schemas.openxmlformats.org/drawingml/2006/main">
                  <a:graphicData uri="http://schemas.microsoft.com/office/word/2010/wordprocessingShape">
                    <wps:wsp>
                      <wps:cNvSpPr/>
                      <wps:spPr>
                        <a:xfrm>
                          <a:off x="0" y="0"/>
                          <a:ext cx="4171950" cy="101600"/>
                        </a:xfrm>
                        <a:prstGeom prst="rect">
                          <a:avLst/>
                        </a:prstGeom>
                        <a:solidFill>
                          <a:srgbClr val="0073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24026" id="Rectangle 6" o:spid="_x0000_s1026" style="position:absolute;margin-left:2.4pt;margin-top:3.95pt;width:328.5pt;height: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XmmAIAAIUFAAAOAAAAZHJzL2Uyb0RvYy54bWysVE1v2zAMvQ/YfxB0X21naboGdYqgRYcB&#10;RRu0HXpWZCkxIIuapMTJfv1I+aNdV+wwLAdFFMlH8pnkxeWhMWyvfKjBlrw4yTlTVkJV203Jvz/d&#10;fPrCWYjCVsKAVSU/qsAvFx8/XLRuriawBVMpzxDEhnnrSr6N0c2zLMitakQ4AacsKjX4RkQU/Sar&#10;vGgRvTHZJM9nWQu+ch6kCgFfrzslXyR8rZWM91oHFZkpOeYW0+nTuaYzW1yI+cYLt61ln4b4hywa&#10;UVsMOkJdiyjYztd/QDW19BBAxxMJTQZa11KlGrCaIn9TzeNWOJVqQXKCG2kK/w9W3u1XntVVyWec&#10;WdHgJ3pA0oTdGMVmRE/rwhytHt3K91LAK9V60L6hf6yCHRKlx5FSdYhM4uO0OCvOT5F5iboiL2Z5&#10;4jx78XY+xK8KGkaXknuMnpgU+9sQMSKaDiYULICpq5vamCT4zfrKeLYX9Hnzs8/LJaWMLr+ZGUvG&#10;FsitU9NLRpV1taRbPBpFdsY+KI2UYPaTlElqRjXGEVIqG4tOtRWV6sKf5vgbolP7kkfKJQESssb4&#10;I3YPMFh2IAN2l2VvT64q9fLonP8tsc559EiRwcbRuakt+PcADFbVR+7sB5I6aoilNVRHbBgP3SQF&#10;J29q/G63IsSV8Dg6+KlxHcR7PLSBtuTQ3zjbgv/53jvZY0ejlrMWR7Hk4cdOeMWZ+Wax18+L6ZRm&#10;NwnT07MJCv61Zv1aY3fNFWA7FLh4nExXso9muGoPzTNujSVFRZWwEmOXXEY/CFexWxG4d6RaLpMZ&#10;zqsT8dY+OkngxCr15dPhWXjXN2/Etr+DYWzF/E0Pd7bkaWG5i6Dr1OAvvPZ846ynxun3Ei2T13Ky&#10;etmei18AAAD//wMAUEsDBBQABgAIAAAAIQAdfeqf3QAAAAYBAAAPAAAAZHJzL2Rvd25yZXYueG1s&#10;TM5NTsMwEAXgPRJ3sAaJHXVaINCQSVVRYFHxoxYO4MRDEjW2I9tNAqdnWMHy6Y3efPlqMp0YyIfW&#10;WYT5LAFBtnK6tTXCx/vjxS2IEJXVqnOWEL4owKo4PclVpt1odzTsYy14xIZMITQx9pmUoWrIqDBz&#10;PVnuPp03KnL0tdRejTxuOrlIklQa1Vr+0Kie7huqDvujQXi4NpsX811vXoed2frnp3V5eBsRz8+m&#10;9R2ISFP8O4ZfPtOhYFPpjlYH0SFcMTwi3CxBcJumc84lwuJyCbLI5X9+8QMAAP//AwBQSwECLQAU&#10;AAYACAAAACEAtoM4kv4AAADhAQAAEwAAAAAAAAAAAAAAAAAAAAAAW0NvbnRlbnRfVHlwZXNdLnht&#10;bFBLAQItABQABgAIAAAAIQA4/SH/1gAAAJQBAAALAAAAAAAAAAAAAAAAAC8BAABfcmVscy8ucmVs&#10;c1BLAQItABQABgAIAAAAIQCRZqXmmAIAAIUFAAAOAAAAAAAAAAAAAAAAAC4CAABkcnMvZTJvRG9j&#10;LnhtbFBLAQItABQABgAIAAAAIQAdfeqf3QAAAAYBAAAPAAAAAAAAAAAAAAAAAPIEAABkcnMvZG93&#10;bnJldi54bWxQSwUGAAAAAAQABADzAAAA/AUAAAAA&#10;" fillcolor="#0073aa" stroked="f" strokeweight="1pt"/>
            </w:pict>
          </mc:Fallback>
        </mc:AlternateContent>
      </w:r>
    </w:p>
    <w:p w:rsidR="004E4CEF" w:rsidRPr="00836CAA" w:rsidRDefault="0080578A" w:rsidP="00836CAA">
      <w:pPr>
        <w:pStyle w:val="Titre1"/>
        <w:rPr>
          <w:color w:val="auto"/>
          <w:lang w:val="fr-FR"/>
        </w:rPr>
      </w:pPr>
      <w:r w:rsidRPr="0080578A">
        <w:rPr>
          <w:color w:val="auto"/>
          <w:lang w:val="fr-FR"/>
        </w:rPr>
        <w:t>L’Economic value au cœur d’IRRBB : un nouveau challenge réglementaire pour les banques en 2018 !</w:t>
      </w:r>
    </w:p>
    <w:p w:rsidR="0080578A" w:rsidRDefault="0080578A" w:rsidP="00571ED3">
      <w:pPr>
        <w:rPr>
          <w:color w:val="9CC2E5" w:themeColor="accent5" w:themeTint="99"/>
          <w:sz w:val="34"/>
          <w:szCs w:val="34"/>
          <w:lang w:val="fr-FR"/>
        </w:rPr>
      </w:pPr>
      <w:r w:rsidRPr="0080578A">
        <w:rPr>
          <w:color w:val="9CC2E5" w:themeColor="accent5" w:themeTint="99"/>
          <w:sz w:val="34"/>
          <w:szCs w:val="34"/>
          <w:lang w:val="fr-FR"/>
        </w:rPr>
        <w:t xml:space="preserve">Rappel du contexte réglementaire :  </w:t>
      </w:r>
    </w:p>
    <w:p w:rsidR="0080578A" w:rsidRDefault="0080578A" w:rsidP="0080578A">
      <w:pPr>
        <w:jc w:val="both"/>
        <w:rPr>
          <w:lang w:val="fr-FR"/>
        </w:rPr>
      </w:pPr>
      <w:r>
        <w:rPr>
          <w:lang w:val="fr-FR"/>
        </w:rPr>
        <w:t xml:space="preserve">Le risque de taux d’intérêt dans le portefeuille bancaire ou « IRRBB » rentre dans le deuxième pilier de Bâle sur les fonds propres, la publication des principales recommandations par le comité de Bâle a eu lieu en 2004. Ce même comité a </w:t>
      </w:r>
      <w:r w:rsidRPr="00387352">
        <w:rPr>
          <w:lang w:val="fr-FR"/>
        </w:rPr>
        <w:t xml:space="preserve">estimé </w:t>
      </w:r>
      <w:r>
        <w:rPr>
          <w:lang w:val="fr-FR"/>
        </w:rPr>
        <w:t>qu’il fallait mettre à jour le suivi, la maîtrise et le contrôle du risque de taux d’intérêt dans le cadre de l’évolution des pratiques prudentielles.</w:t>
      </w:r>
    </w:p>
    <w:p w:rsidR="0080578A" w:rsidRDefault="0080578A" w:rsidP="0080578A">
      <w:pPr>
        <w:jc w:val="both"/>
        <w:rPr>
          <w:lang w:val="fr-FR"/>
        </w:rPr>
      </w:pPr>
      <w:r>
        <w:rPr>
          <w:lang w:val="fr-FR"/>
        </w:rPr>
        <w:t>Le comité a présenté deux solutions en 2015, le 1</w:t>
      </w:r>
      <w:r w:rsidRPr="0014617A">
        <w:rPr>
          <w:vertAlign w:val="superscript"/>
          <w:lang w:val="fr-FR"/>
        </w:rPr>
        <w:t>er</w:t>
      </w:r>
      <w:r>
        <w:rPr>
          <w:lang w:val="fr-FR"/>
        </w:rPr>
        <w:t xml:space="preserve"> pilier (Exigences minimales en Fonds propres et le 2</w:t>
      </w:r>
      <w:r w:rsidRPr="00DB5D4E">
        <w:rPr>
          <w:vertAlign w:val="superscript"/>
          <w:lang w:val="fr-FR"/>
        </w:rPr>
        <w:t>ème</w:t>
      </w:r>
      <w:r>
        <w:rPr>
          <w:lang w:val="fr-FR"/>
        </w:rPr>
        <w:t xml:space="preserve"> pilier. Compte tenu de la difficulté pratique de l’application par les banques du premier pilier, le comité décida que le deuxième pilier est le plus adapté pour le traitement de l’IRRBB. </w:t>
      </w:r>
    </w:p>
    <w:p w:rsidR="0080578A" w:rsidRDefault="0080578A" w:rsidP="0080578A">
      <w:pPr>
        <w:jc w:val="both"/>
        <w:rPr>
          <w:lang w:val="fr-FR"/>
        </w:rPr>
      </w:pPr>
      <w:r>
        <w:rPr>
          <w:lang w:val="fr-FR"/>
        </w:rPr>
        <w:t xml:space="preserve">Outre la prise en compte du risque de taux d’intérêt dans le portefeuille bancaire, un second risque connexe est mis en évidence (CSRBB : </w:t>
      </w:r>
      <w:r w:rsidRPr="00EB5ECA">
        <w:rPr>
          <w:lang w:val="fr-FR"/>
        </w:rPr>
        <w:t xml:space="preserve">credit spread risk in the banking book), </w:t>
      </w:r>
      <w:r w:rsidRPr="00DB5D4E">
        <w:rPr>
          <w:lang w:val="fr-FR"/>
        </w:rPr>
        <w:t>nous ne détaillerons pas cette notion dans le présent article.</w:t>
      </w:r>
    </w:p>
    <w:p w:rsidR="004E4CEF" w:rsidRDefault="004E4CEF" w:rsidP="0080578A">
      <w:pPr>
        <w:jc w:val="both"/>
        <w:rPr>
          <w:lang w:val="fr-FR"/>
        </w:rPr>
      </w:pPr>
    </w:p>
    <w:p w:rsidR="0080578A" w:rsidRDefault="0080578A" w:rsidP="00DA311C">
      <w:pPr>
        <w:rPr>
          <w:color w:val="9CC2E5" w:themeColor="accent5" w:themeTint="99"/>
          <w:sz w:val="34"/>
          <w:szCs w:val="34"/>
          <w:lang w:val="fr-FR"/>
        </w:rPr>
      </w:pPr>
      <w:r w:rsidRPr="0080578A">
        <w:rPr>
          <w:color w:val="9CC2E5" w:themeColor="accent5" w:themeTint="99"/>
          <w:sz w:val="34"/>
          <w:szCs w:val="34"/>
          <w:lang w:val="fr-FR"/>
        </w:rPr>
        <w:t xml:space="preserve">EVE, que représente cet indicateur ? </w:t>
      </w:r>
    </w:p>
    <w:p w:rsidR="0080578A" w:rsidRDefault="0080578A" w:rsidP="0080578A">
      <w:pPr>
        <w:rPr>
          <w:lang w:val="fr-FR"/>
        </w:rPr>
      </w:pPr>
      <w:r>
        <w:rPr>
          <w:color w:val="000000" w:themeColor="text1"/>
          <w:lang w:val="fr-FR"/>
        </w:rPr>
        <w:t xml:space="preserve">L’EVE (Economic Value of Equity) représente </w:t>
      </w:r>
      <w:r w:rsidRPr="00E54CB9">
        <w:rPr>
          <w:color w:val="000000" w:themeColor="text1"/>
          <w:lang w:val="fr-FR"/>
        </w:rPr>
        <w:t>la valorisation des produits du bilan et du hors bilan et se calcule généralement par l’actualisation des cash-flow futurs.</w:t>
      </w:r>
      <w:r>
        <w:rPr>
          <w:lang w:val="fr-FR"/>
        </w:rPr>
        <w:t xml:space="preserve">  </w:t>
      </w:r>
    </w:p>
    <w:p w:rsidR="004E4CEF" w:rsidRDefault="004E4CEF" w:rsidP="0080578A">
      <w:pPr>
        <w:rPr>
          <w:lang w:val="fr-FR"/>
        </w:rPr>
      </w:pPr>
    </w:p>
    <w:p w:rsidR="0080578A" w:rsidRPr="0080578A" w:rsidRDefault="0080578A" w:rsidP="0080578A">
      <w:pPr>
        <w:jc w:val="both"/>
        <w:rPr>
          <w:lang w:val="fr-FR"/>
        </w:rPr>
      </w:pPr>
    </w:p>
    <w:p w:rsidR="0017580C" w:rsidRPr="002B0D19" w:rsidRDefault="0017580C" w:rsidP="0017580C">
      <w:pPr>
        <w:rPr>
          <w:lang w:val="fr-FR"/>
        </w:rPr>
      </w:pPr>
    </w:p>
    <w:p w:rsidR="0017580C" w:rsidRPr="002B0D19" w:rsidRDefault="0017580C" w:rsidP="0017580C">
      <w:pPr>
        <w:rPr>
          <w:lang w:val="fr-FR"/>
        </w:rPr>
      </w:pPr>
    </w:p>
    <w:p w:rsidR="0017580C" w:rsidRPr="002B0D19" w:rsidRDefault="0017580C" w:rsidP="0017580C">
      <w:pPr>
        <w:rPr>
          <w:lang w:val="fr-FR"/>
        </w:rPr>
      </w:pPr>
      <w:r w:rsidRPr="002B0D19">
        <w:rPr>
          <w:lang w:val="fr-FR"/>
        </w:rPr>
        <w:lastRenderedPageBreak/>
        <w:br/>
      </w:r>
    </w:p>
    <w:p w:rsidR="0017580C" w:rsidRPr="00571ED3" w:rsidRDefault="0017580C" w:rsidP="0017580C">
      <w:pPr>
        <w:jc w:val="right"/>
        <w:rPr>
          <w:b/>
          <w:bCs/>
          <w:lang w:val="fr-FR"/>
        </w:rPr>
      </w:pPr>
    </w:p>
    <w:p w:rsidR="0017580C" w:rsidRPr="0080578A" w:rsidRDefault="0017580C" w:rsidP="0017580C">
      <w:pPr>
        <w:jc w:val="right"/>
        <w:rPr>
          <w:lang w:val="fr-FR"/>
        </w:rPr>
      </w:pPr>
      <w:r w:rsidRPr="0080578A">
        <w:rPr>
          <w:lang w:val="fr-FR"/>
        </w:rPr>
        <w:br/>
      </w:r>
      <w:r w:rsidRPr="0080578A">
        <w:rPr>
          <w:lang w:val="fr-FR"/>
        </w:rPr>
        <w:br/>
      </w:r>
    </w:p>
    <w:p w:rsidR="0017580C" w:rsidRDefault="0017580C" w:rsidP="0017580C">
      <w:pPr>
        <w:rPr>
          <w:lang w:val="fr-FR"/>
        </w:rPr>
      </w:pPr>
      <w:r w:rsidRPr="0080578A">
        <w:rPr>
          <w:lang w:val="fr-FR"/>
        </w:rPr>
        <w:br w:type="column"/>
      </w:r>
    </w:p>
    <w:p w:rsidR="004E4CEF" w:rsidRDefault="004E4CEF" w:rsidP="0017580C">
      <w:pPr>
        <w:rPr>
          <w:color w:val="000000" w:themeColor="text1"/>
          <w:lang w:val="fr-FR"/>
        </w:rPr>
      </w:pPr>
    </w:p>
    <w:p w:rsidR="004E4CEF" w:rsidRDefault="004E4CEF" w:rsidP="0017580C">
      <w:pPr>
        <w:rPr>
          <w:color w:val="000000" w:themeColor="text1"/>
          <w:lang w:val="fr-FR"/>
        </w:rPr>
      </w:pPr>
    </w:p>
    <w:p w:rsidR="004E4CEF" w:rsidRDefault="004E4CEF" w:rsidP="0017580C">
      <w:pPr>
        <w:rPr>
          <w:color w:val="000000" w:themeColor="text1"/>
          <w:lang w:val="fr-FR"/>
        </w:rPr>
      </w:pPr>
    </w:p>
    <w:p w:rsidR="004E4CEF" w:rsidRDefault="004E4CEF" w:rsidP="004E4CEF">
      <w:pPr>
        <w:rPr>
          <w:color w:val="9CC2E5" w:themeColor="accent5" w:themeTint="99"/>
          <w:sz w:val="34"/>
          <w:szCs w:val="34"/>
          <w:lang w:val="fr-FR"/>
        </w:rPr>
      </w:pPr>
      <w:r w:rsidRPr="0080578A">
        <w:rPr>
          <w:color w:val="9CC2E5" w:themeColor="accent5" w:themeTint="99"/>
          <w:sz w:val="34"/>
          <w:szCs w:val="34"/>
          <w:lang w:val="fr-FR"/>
        </w:rPr>
        <w:t xml:space="preserve">Pourquoi le calcule-t-on et en quoi est-ce central dans la nouvelle réglementation Bâloise ? </w:t>
      </w:r>
    </w:p>
    <w:p w:rsidR="004E4CEF" w:rsidRDefault="004E4CEF" w:rsidP="004E4CEF">
      <w:pPr>
        <w:rPr>
          <w:color w:val="000000" w:themeColor="text1"/>
          <w:lang w:val="fr-FR"/>
        </w:rPr>
      </w:pPr>
      <w:r>
        <w:rPr>
          <w:color w:val="000000" w:themeColor="text1"/>
          <w:lang w:val="fr-FR"/>
        </w:rPr>
        <w:t xml:space="preserve">L’EVE est calculé pour mesurer l’impact des taux d’intérêt sur le prix des instruments du bilan et du hors bilan. </w:t>
      </w:r>
    </w:p>
    <w:p w:rsidR="004E4CEF" w:rsidRDefault="004E4CEF" w:rsidP="0017580C">
      <w:pPr>
        <w:rPr>
          <w:color w:val="000000" w:themeColor="text1"/>
          <w:lang w:val="fr-FR"/>
        </w:rPr>
      </w:pPr>
    </w:p>
    <w:p w:rsidR="0017580C" w:rsidRDefault="0017580C" w:rsidP="0017580C">
      <w:pPr>
        <w:rPr>
          <w:color w:val="000000" w:themeColor="text1"/>
          <w:lang w:val="fr-FR"/>
        </w:rPr>
      </w:pPr>
      <w:r>
        <w:rPr>
          <w:color w:val="000000" w:themeColor="text1"/>
          <w:lang w:val="fr-FR"/>
        </w:rPr>
        <w:t xml:space="preserve">Cet indicateur détient de fait un caractère central dans la nouvelle réglementation car il reflète l’évolution des prix des produits et leurs sensibilités aux taux d’intérêt. </w:t>
      </w:r>
    </w:p>
    <w:p w:rsidR="0017580C" w:rsidRPr="0017580C" w:rsidRDefault="0017580C" w:rsidP="0017580C">
      <w:pPr>
        <w:rPr>
          <w:color w:val="70AD47" w:themeColor="accent6"/>
          <w:lang w:val="fr-FR"/>
        </w:rPr>
      </w:pPr>
      <w:r w:rsidRPr="00E54CB9">
        <w:rPr>
          <w:color w:val="000000" w:themeColor="text1"/>
          <w:lang w:val="fr-FR"/>
        </w:rPr>
        <w:t xml:space="preserve">Le challenge pour les banques est de s’assurer que la variation maximale de l’EVE et donc que le différentiel de valorisation des produits bancaires par rapport à un scénario </w:t>
      </w:r>
      <w:r>
        <w:rPr>
          <w:color w:val="000000" w:themeColor="text1"/>
          <w:lang w:val="fr-FR"/>
        </w:rPr>
        <w:t>de référence</w:t>
      </w:r>
      <w:r w:rsidRPr="00E54CB9">
        <w:rPr>
          <w:color w:val="000000" w:themeColor="text1"/>
          <w:lang w:val="fr-FR"/>
        </w:rPr>
        <w:t xml:space="preserve"> soit maitrisé et de facto ramené à un seuil réglementaire des fonds propres.  Le contrôle de l’EVE, dans ce sens, s’ajoute au suivi de la Marge nette d’intérêt pour apporter une vision plus globale de la gestion des risques.</w:t>
      </w:r>
    </w:p>
    <w:p w:rsidR="0017580C" w:rsidRDefault="0017580C" w:rsidP="0017580C">
      <w:pPr>
        <w:jc w:val="both"/>
        <w:rPr>
          <w:color w:val="9CC2E5" w:themeColor="accent5" w:themeTint="99"/>
          <w:sz w:val="34"/>
          <w:szCs w:val="34"/>
          <w:lang w:val="fr-FR"/>
        </w:rPr>
      </w:pPr>
      <w:r w:rsidRPr="0017580C">
        <w:rPr>
          <w:color w:val="9CC2E5" w:themeColor="accent5" w:themeTint="99"/>
          <w:sz w:val="34"/>
          <w:szCs w:val="34"/>
          <w:lang w:val="fr-FR"/>
        </w:rPr>
        <w:t xml:space="preserve">Exigences et contraintes réglementaires : En quoi est-ce une impasse pour les banques ? </w:t>
      </w:r>
    </w:p>
    <w:p w:rsidR="0017580C" w:rsidRPr="0010193A" w:rsidRDefault="0017580C" w:rsidP="0017580C">
      <w:pPr>
        <w:pStyle w:val="Titre2"/>
        <w:rPr>
          <w:color w:val="auto"/>
          <w:sz w:val="22"/>
          <w:szCs w:val="22"/>
          <w:lang w:val="fr-FR"/>
        </w:rPr>
      </w:pPr>
      <w:r w:rsidRPr="009706C2">
        <w:rPr>
          <w:color w:val="auto"/>
          <w:sz w:val="22"/>
          <w:szCs w:val="22"/>
          <w:lang w:val="fr-FR"/>
        </w:rPr>
        <w:t xml:space="preserve">Les </w:t>
      </w:r>
      <w:r>
        <w:rPr>
          <w:color w:val="auto"/>
          <w:sz w:val="22"/>
          <w:szCs w:val="22"/>
          <w:lang w:val="fr-FR"/>
        </w:rPr>
        <w:t>banques sont tenues à respecter une liste de contraintes imposées par la réglementation.</w:t>
      </w:r>
    </w:p>
    <w:p w:rsidR="0017580C" w:rsidRDefault="0017580C" w:rsidP="0017580C">
      <w:pPr>
        <w:rPr>
          <w:lang w:val="fr-FR"/>
        </w:rPr>
      </w:pPr>
      <w:r w:rsidRPr="00A575CD">
        <w:rPr>
          <w:lang w:val="fr-FR"/>
        </w:rPr>
        <w:t>L’application stricte des</w:t>
      </w:r>
      <w:r>
        <w:rPr>
          <w:lang w:val="fr-FR"/>
        </w:rPr>
        <w:t xml:space="preserve"> textes réglementaires</w:t>
      </w:r>
      <w:r w:rsidRPr="00A575CD">
        <w:rPr>
          <w:lang w:val="fr-FR"/>
        </w:rPr>
        <w:t xml:space="preserve"> est parfois difficile à mettre en place,</w:t>
      </w:r>
      <w:r>
        <w:rPr>
          <w:lang w:val="fr-FR"/>
        </w:rPr>
        <w:t xml:space="preserve"> le texte Bâlois datant d’Avril 2016 en est la preuve. </w:t>
      </w:r>
      <w:r w:rsidRPr="00A575CD">
        <w:rPr>
          <w:lang w:val="fr-FR"/>
        </w:rPr>
        <w:t xml:space="preserve"> </w:t>
      </w:r>
      <w:r>
        <w:rPr>
          <w:lang w:val="fr-FR"/>
        </w:rPr>
        <w:t>C</w:t>
      </w:r>
      <w:r w:rsidRPr="00A575CD">
        <w:rPr>
          <w:lang w:val="fr-FR"/>
        </w:rPr>
        <w:t>ertaines techniques utilisées par le</w:t>
      </w:r>
      <w:r>
        <w:rPr>
          <w:lang w:val="fr-FR"/>
        </w:rPr>
        <w:t xml:space="preserve">s </w:t>
      </w:r>
      <w:r w:rsidRPr="00A575CD">
        <w:rPr>
          <w:lang w:val="fr-FR"/>
        </w:rPr>
        <w:t>inst</w:t>
      </w:r>
      <w:r>
        <w:rPr>
          <w:lang w:val="fr-FR"/>
        </w:rPr>
        <w:t>it</w:t>
      </w:r>
      <w:r w:rsidRPr="00A575CD">
        <w:rPr>
          <w:lang w:val="fr-FR"/>
        </w:rPr>
        <w:t>utions bancaire</w:t>
      </w:r>
      <w:r>
        <w:rPr>
          <w:lang w:val="fr-FR"/>
        </w:rPr>
        <w:t xml:space="preserve">s, dans le cadre d’IRRBB, </w:t>
      </w:r>
      <w:r w:rsidRPr="00A575CD">
        <w:rPr>
          <w:lang w:val="fr-FR"/>
        </w:rPr>
        <w:t xml:space="preserve">permettent d’obtenir des résultats fiables tout en contournant la complexité </w:t>
      </w:r>
      <w:r>
        <w:rPr>
          <w:lang w:val="fr-FR"/>
        </w:rPr>
        <w:t>de la réglementation</w:t>
      </w:r>
      <w:r w:rsidRPr="00A575CD">
        <w:rPr>
          <w:lang w:val="fr-FR"/>
        </w:rPr>
        <w:t>.</w:t>
      </w:r>
      <w:r>
        <w:rPr>
          <w:lang w:val="fr-FR"/>
        </w:rPr>
        <w:t xml:space="preserve"> Nous reviendrons sur ces points dans la suite du présent article.</w:t>
      </w:r>
    </w:p>
    <w:p w:rsidR="0017580C" w:rsidRPr="008C3BE1" w:rsidRDefault="0017580C" w:rsidP="0017580C">
      <w:pPr>
        <w:jc w:val="both"/>
        <w:rPr>
          <w:lang w:val="fr-FR"/>
        </w:rPr>
        <w:sectPr w:rsidR="0017580C" w:rsidRPr="008C3BE1" w:rsidSect="00A30C30">
          <w:headerReference w:type="default" r:id="rId8"/>
          <w:footerReference w:type="default" r:id="rId9"/>
          <w:type w:val="continuous"/>
          <w:pgSz w:w="11906" w:h="16838"/>
          <w:pgMar w:top="720" w:right="720" w:bottom="720" w:left="720" w:header="708" w:footer="708" w:gutter="0"/>
          <w:cols w:num="2" w:space="710" w:equalWidth="0">
            <w:col w:w="3402" w:space="710"/>
            <w:col w:w="6354"/>
          </w:cols>
          <w:docGrid w:linePitch="360"/>
        </w:sectPr>
      </w:pPr>
    </w:p>
    <w:p w:rsidR="0017580C" w:rsidRDefault="0017580C" w:rsidP="0017580C">
      <w:pPr>
        <w:jc w:val="both"/>
        <w:rPr>
          <w:lang w:val="fr-FR"/>
        </w:rPr>
      </w:pPr>
    </w:p>
    <w:p w:rsidR="0017580C" w:rsidRDefault="0017580C" w:rsidP="0017580C">
      <w:pPr>
        <w:jc w:val="both"/>
        <w:rPr>
          <w:lang w:val="fr-FR"/>
        </w:rPr>
      </w:pPr>
    </w:p>
    <w:p w:rsidR="0017580C" w:rsidRDefault="0017580C" w:rsidP="0017580C">
      <w:pPr>
        <w:jc w:val="both"/>
        <w:rPr>
          <w:lang w:val="fr-FR"/>
        </w:rPr>
      </w:pPr>
    </w:p>
    <w:p w:rsidR="0017580C" w:rsidRDefault="0017580C" w:rsidP="0017580C">
      <w:pPr>
        <w:jc w:val="both"/>
        <w:rPr>
          <w:lang w:val="fr-FR"/>
        </w:rPr>
      </w:pPr>
    </w:p>
    <w:p w:rsidR="0017580C" w:rsidRDefault="0017580C" w:rsidP="0017580C">
      <w:pPr>
        <w:jc w:val="both"/>
        <w:rPr>
          <w:lang w:val="fr-FR"/>
        </w:rPr>
      </w:pPr>
    </w:p>
    <w:p w:rsidR="0017580C" w:rsidRDefault="0017580C" w:rsidP="0017580C">
      <w:pPr>
        <w:jc w:val="both"/>
        <w:rPr>
          <w:lang w:val="fr-FR"/>
        </w:rPr>
      </w:pPr>
    </w:p>
    <w:p w:rsidR="0017580C" w:rsidRDefault="0017580C" w:rsidP="0017580C">
      <w:pPr>
        <w:pStyle w:val="Titre1"/>
      </w:pPr>
      <w:r w:rsidRPr="00462716">
        <w:t>IRRBB (</w:t>
      </w:r>
      <w:r w:rsidR="002858E6">
        <w:t>I</w:t>
      </w:r>
      <w:r w:rsidRPr="00462716">
        <w:t xml:space="preserve">nterest </w:t>
      </w:r>
      <w:r w:rsidR="002858E6">
        <w:t>R</w:t>
      </w:r>
      <w:r w:rsidRPr="00462716">
        <w:t xml:space="preserve">ate </w:t>
      </w:r>
      <w:r w:rsidR="002858E6">
        <w:t>R</w:t>
      </w:r>
      <w:r w:rsidRPr="00462716">
        <w:t xml:space="preserve">isk in the </w:t>
      </w:r>
      <w:r w:rsidR="002858E6">
        <w:t>B</w:t>
      </w:r>
      <w:r w:rsidRPr="00462716">
        <w:t>an</w:t>
      </w:r>
      <w:r>
        <w:t xml:space="preserve">king </w:t>
      </w:r>
      <w:r w:rsidR="002858E6">
        <w:t>B</w:t>
      </w:r>
      <w:bookmarkStart w:id="0" w:name="_GoBack"/>
      <w:bookmarkEnd w:id="0"/>
      <w:r>
        <w:t>ook)</w:t>
      </w:r>
    </w:p>
    <w:p w:rsidR="004E4CEF" w:rsidRPr="00217C23" w:rsidRDefault="004E4CEF" w:rsidP="0017580C"/>
    <w:p w:rsidR="0017580C" w:rsidRDefault="0017580C" w:rsidP="0017580C">
      <w:pPr>
        <w:rPr>
          <w:lang w:val="fr-FR"/>
        </w:rPr>
      </w:pPr>
      <w:r w:rsidRPr="003758D6">
        <w:rPr>
          <w:lang w:val="fr-FR"/>
        </w:rPr>
        <w:t>L’IRRBB (</w:t>
      </w:r>
      <w:r w:rsidRPr="0050493D">
        <w:rPr>
          <w:i/>
          <w:iCs/>
          <w:lang w:val="fr-FR"/>
        </w:rPr>
        <w:t>Interest Rate risk Banking Book</w:t>
      </w:r>
      <w:r w:rsidRPr="003758D6">
        <w:rPr>
          <w:lang w:val="fr-FR"/>
        </w:rPr>
        <w:t xml:space="preserve">) </w:t>
      </w:r>
      <w:r>
        <w:rPr>
          <w:lang w:val="fr-FR"/>
        </w:rPr>
        <w:t>est un concept réglementaire qui met en avant les</w:t>
      </w:r>
      <w:r w:rsidRPr="003758D6">
        <w:rPr>
          <w:lang w:val="fr-FR"/>
        </w:rPr>
        <w:t xml:space="preserve"> risques dus aux variations des taux d’intérêt et impactant les bénéfices et les fonds propres de la banque. </w:t>
      </w:r>
    </w:p>
    <w:p w:rsidR="004E4CEF" w:rsidRDefault="0017580C" w:rsidP="00217C23">
      <w:pPr>
        <w:rPr>
          <w:lang w:val="fr-FR"/>
        </w:rPr>
      </w:pPr>
      <w:r w:rsidRPr="009C204F">
        <w:rPr>
          <w:lang w:val="fr-FR"/>
        </w:rPr>
        <w:t>Les banques</w:t>
      </w:r>
      <w:r>
        <w:rPr>
          <w:lang w:val="fr-FR"/>
        </w:rPr>
        <w:t xml:space="preserve"> se doivent d’appliquer cette norme dès</w:t>
      </w:r>
      <w:r w:rsidRPr="009C204F">
        <w:rPr>
          <w:lang w:val="fr-FR"/>
        </w:rPr>
        <w:t xml:space="preserve"> 2018. </w:t>
      </w:r>
      <w:r>
        <w:rPr>
          <w:rStyle w:val="Appelnotedebasdep"/>
          <w:rFonts w:cs="Times New Roman"/>
          <w:szCs w:val="24"/>
          <w:lang w:val="fr-FR"/>
        </w:rPr>
        <w:footnoteReference w:id="1"/>
      </w:r>
    </w:p>
    <w:p w:rsidR="0017580C" w:rsidRDefault="0017580C" w:rsidP="0017580C">
      <w:pPr>
        <w:pStyle w:val="Titre2"/>
        <w:rPr>
          <w:lang w:val="fr-FR"/>
        </w:rPr>
      </w:pPr>
      <w:bookmarkStart w:id="1" w:name="_Toc499797837"/>
      <w:bookmarkEnd w:id="1"/>
      <w:r>
        <w:rPr>
          <w:lang w:val="fr-FR"/>
        </w:rPr>
        <w:t>Zoom sur IRRBB</w:t>
      </w:r>
    </w:p>
    <w:p w:rsidR="0017580C" w:rsidRDefault="0017580C" w:rsidP="0017580C">
      <w:pPr>
        <w:rPr>
          <w:lang w:val="fr-FR"/>
        </w:rPr>
      </w:pPr>
      <w:bookmarkStart w:id="2" w:name="_Hlk503192510"/>
      <w:r>
        <w:rPr>
          <w:noProof/>
          <w:lang w:val="fr-FR" w:eastAsia="fr-FR"/>
        </w:rPr>
        <w:drawing>
          <wp:anchor distT="0" distB="0" distL="114300" distR="114300" simplePos="0" relativeHeight="251651072" behindDoc="0" locked="0" layoutInCell="1" allowOverlap="1" wp14:anchorId="2127EE3B" wp14:editId="13EB1824">
            <wp:simplePos x="0" y="0"/>
            <wp:positionH relativeFrom="column">
              <wp:posOffset>-358775</wp:posOffset>
            </wp:positionH>
            <wp:positionV relativeFrom="paragraph">
              <wp:posOffset>255270</wp:posOffset>
            </wp:positionV>
            <wp:extent cx="5302885" cy="1405255"/>
            <wp:effectExtent l="0" t="0" r="0" b="444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302885" cy="1405255"/>
                    </a:xfrm>
                    <a:prstGeom prst="rect">
                      <a:avLst/>
                    </a:prstGeom>
                  </pic:spPr>
                </pic:pic>
              </a:graphicData>
            </a:graphic>
          </wp:anchor>
        </w:drawing>
      </w:r>
      <w:r w:rsidRPr="003758D6">
        <w:rPr>
          <w:lang w:val="fr-FR"/>
        </w:rPr>
        <w:t xml:space="preserve">Le concept </w:t>
      </w:r>
      <w:r w:rsidRPr="0050493D">
        <w:rPr>
          <w:i/>
          <w:iCs/>
          <w:lang w:val="fr-FR"/>
        </w:rPr>
        <w:t>IRRBB</w:t>
      </w:r>
      <w:r w:rsidRPr="003758D6">
        <w:rPr>
          <w:lang w:val="fr-FR"/>
        </w:rPr>
        <w:t xml:space="preserve"> peut se décomposer en quatre types de risques : </w:t>
      </w:r>
    </w:p>
    <w:p w:rsidR="0017580C" w:rsidRDefault="0017580C" w:rsidP="0017580C">
      <w:pPr>
        <w:rPr>
          <w:lang w:val="fr-FR"/>
        </w:rPr>
      </w:pPr>
    </w:p>
    <w:p w:rsidR="0017580C" w:rsidRDefault="0017580C" w:rsidP="0017580C">
      <w:pPr>
        <w:rPr>
          <w:lang w:val="fr-FR"/>
        </w:rPr>
      </w:pPr>
    </w:p>
    <w:p w:rsidR="0017580C" w:rsidRDefault="0017580C" w:rsidP="0017580C">
      <w:pPr>
        <w:rPr>
          <w:lang w:val="fr-FR"/>
        </w:rPr>
      </w:pPr>
    </w:p>
    <w:p w:rsidR="0017580C" w:rsidRDefault="0017580C" w:rsidP="0017580C">
      <w:pPr>
        <w:rPr>
          <w:lang w:val="fr-FR"/>
        </w:rPr>
      </w:pPr>
    </w:p>
    <w:p w:rsidR="0017580C" w:rsidRDefault="0017580C" w:rsidP="0017580C">
      <w:pPr>
        <w:rPr>
          <w:lang w:val="fr-FR"/>
        </w:rPr>
      </w:pPr>
    </w:p>
    <w:p w:rsidR="0017580C" w:rsidRPr="003758D6" w:rsidRDefault="0017580C" w:rsidP="0017580C">
      <w:pPr>
        <w:pStyle w:val="Paragraphedeliste"/>
        <w:numPr>
          <w:ilvl w:val="0"/>
          <w:numId w:val="2"/>
        </w:numPr>
        <w:rPr>
          <w:b/>
          <w:bCs/>
        </w:rPr>
      </w:pPr>
      <w:r w:rsidRPr="003758D6">
        <w:rPr>
          <w:b/>
          <w:bCs/>
        </w:rPr>
        <w:t xml:space="preserve">Le risque de décalage </w:t>
      </w:r>
    </w:p>
    <w:p w:rsidR="0017580C" w:rsidRPr="003758D6" w:rsidRDefault="0017580C" w:rsidP="0017580C">
      <w:pPr>
        <w:rPr>
          <w:lang w:val="fr-FR"/>
        </w:rPr>
      </w:pPr>
      <w:r w:rsidRPr="003758D6">
        <w:rPr>
          <w:lang w:val="fr-FR"/>
        </w:rPr>
        <w:t xml:space="preserve">Principalement lié aux échéances des instruments des portefeuilles et est généré par la révision des taux d’intérêt. </w:t>
      </w:r>
    </w:p>
    <w:p w:rsidR="0017580C" w:rsidRPr="003758D6" w:rsidRDefault="0017580C" w:rsidP="0017580C">
      <w:pPr>
        <w:pStyle w:val="Paragraphedeliste"/>
        <w:numPr>
          <w:ilvl w:val="0"/>
          <w:numId w:val="2"/>
        </w:numPr>
        <w:rPr>
          <w:b/>
          <w:bCs/>
        </w:rPr>
      </w:pPr>
      <w:r w:rsidRPr="003758D6">
        <w:rPr>
          <w:b/>
          <w:bCs/>
        </w:rPr>
        <w:t xml:space="preserve">Le risque de base </w:t>
      </w:r>
    </w:p>
    <w:p w:rsidR="0017580C" w:rsidRPr="003758D6" w:rsidRDefault="0017580C" w:rsidP="0017580C">
      <w:pPr>
        <w:rPr>
          <w:lang w:val="fr-FR"/>
        </w:rPr>
      </w:pPr>
      <w:r w:rsidRPr="003758D6">
        <w:rPr>
          <w:lang w:val="fr-FR"/>
        </w:rPr>
        <w:t>Le risque de base décrit l’impact des fluctuations des taux d’intérêt sur des produits financiers ayant les mêmes échéances mais dont les indices associés diffèrent.</w:t>
      </w:r>
    </w:p>
    <w:p w:rsidR="0017580C" w:rsidRPr="003758D6" w:rsidRDefault="0017580C" w:rsidP="0017580C">
      <w:pPr>
        <w:pStyle w:val="Paragraphedeliste"/>
        <w:numPr>
          <w:ilvl w:val="0"/>
          <w:numId w:val="2"/>
        </w:numPr>
        <w:rPr>
          <w:b/>
          <w:bCs/>
        </w:rPr>
      </w:pPr>
      <w:r w:rsidRPr="003758D6">
        <w:rPr>
          <w:b/>
          <w:bCs/>
        </w:rPr>
        <w:t xml:space="preserve">Le risque </w:t>
      </w:r>
      <w:r w:rsidRPr="00682596">
        <w:rPr>
          <w:b/>
          <w:bCs/>
          <w:lang w:val="fr-FR"/>
        </w:rPr>
        <w:t>optionnel</w:t>
      </w:r>
      <w:r w:rsidRPr="003758D6">
        <w:rPr>
          <w:b/>
          <w:bCs/>
        </w:rPr>
        <w:t xml:space="preserve"> </w:t>
      </w:r>
    </w:p>
    <w:p w:rsidR="0017580C" w:rsidRDefault="0017580C" w:rsidP="0017580C">
      <w:pPr>
        <w:rPr>
          <w:lang w:val="fr-FR"/>
        </w:rPr>
      </w:pPr>
      <w:r w:rsidRPr="003758D6">
        <w:rPr>
          <w:lang w:val="fr-FR"/>
        </w:rPr>
        <w:t>Le risque optionnel est généré par des positions sur produits dérivés</w:t>
      </w:r>
      <w:r>
        <w:rPr>
          <w:lang w:val="fr-FR"/>
        </w:rPr>
        <w:t xml:space="preserve">. </w:t>
      </w:r>
    </w:p>
    <w:p w:rsidR="0017580C" w:rsidRPr="006141EE" w:rsidRDefault="0017580C" w:rsidP="0017580C">
      <w:pPr>
        <w:rPr>
          <w:color w:val="000000" w:themeColor="text1"/>
          <w:lang w:val="fr-FR"/>
        </w:rPr>
      </w:pPr>
      <w:r w:rsidRPr="006141EE">
        <w:rPr>
          <w:color w:val="000000" w:themeColor="text1"/>
          <w:lang w:val="fr-FR"/>
        </w:rPr>
        <w:t>Les options (ex : CAP, FLOOR, COLLAR etc…) sont généralement utilisées pour la couverture du risque de taux.</w:t>
      </w:r>
    </w:p>
    <w:p w:rsidR="0017580C" w:rsidRPr="003758D6" w:rsidRDefault="0017580C" w:rsidP="0017580C">
      <w:pPr>
        <w:pStyle w:val="Paragraphedeliste"/>
        <w:numPr>
          <w:ilvl w:val="0"/>
          <w:numId w:val="2"/>
        </w:numPr>
        <w:rPr>
          <w:b/>
          <w:bCs/>
        </w:rPr>
      </w:pPr>
      <w:r w:rsidRPr="003758D6">
        <w:rPr>
          <w:b/>
          <w:bCs/>
        </w:rPr>
        <w:t>Le risque d’option comportementale</w:t>
      </w:r>
    </w:p>
    <w:p w:rsidR="0017580C" w:rsidRDefault="0017580C" w:rsidP="0017580C">
      <w:pPr>
        <w:rPr>
          <w:lang w:val="fr-FR"/>
        </w:rPr>
      </w:pPr>
      <w:r w:rsidRPr="003758D6">
        <w:rPr>
          <w:lang w:val="fr-FR"/>
        </w:rPr>
        <w:t>Les variations des taux d’intérêt peuvent changer le comportement d’un client, ceci dépend des souplesses contractuelles des produits.  La conjecture actuelle démontre l’impact des remboursements anticipés dans le contexte de la baisse et stagnation des taux d’intérê</w:t>
      </w:r>
      <w:r>
        <w:rPr>
          <w:lang w:val="fr-FR"/>
        </w:rPr>
        <w:t>t.</w:t>
      </w:r>
    </w:p>
    <w:p w:rsidR="0017580C" w:rsidRDefault="0017580C" w:rsidP="0017580C">
      <w:pPr>
        <w:pStyle w:val="Titre2"/>
        <w:rPr>
          <w:lang w:val="fr-FR"/>
        </w:rPr>
      </w:pPr>
      <w:r>
        <w:rPr>
          <w:lang w:val="fr-FR"/>
        </w:rPr>
        <w:t>Comment valorise-t-on les produits dans le cadre d’IRRBB ?</w:t>
      </w:r>
    </w:p>
    <w:p w:rsidR="0017580C" w:rsidRPr="008C6DC3" w:rsidRDefault="0017580C" w:rsidP="0017580C">
      <w:pPr>
        <w:rPr>
          <w:lang w:val="fr-FR"/>
        </w:rPr>
      </w:pPr>
      <w:r>
        <w:rPr>
          <w:lang w:val="fr-FR"/>
        </w:rPr>
        <w:t xml:space="preserve">Pour quantifier le risque de taux dans le portefeuille bancaire, les banques valorisent les produits qui y sont sensibles, cela se fait généralement par deux méthodes : </w:t>
      </w:r>
    </w:p>
    <w:p w:rsidR="0017580C" w:rsidRDefault="0017580C" w:rsidP="0017580C">
      <w:pPr>
        <w:rPr>
          <w:lang w:val="fr-FR"/>
        </w:rPr>
      </w:pPr>
    </w:p>
    <w:p w:rsidR="0017580C" w:rsidRDefault="0017580C" w:rsidP="0017580C">
      <w:pPr>
        <w:rPr>
          <w:lang w:val="fr-FR"/>
        </w:rPr>
      </w:pPr>
      <w:r>
        <w:rPr>
          <w:noProof/>
          <w:lang w:val="fr-FR" w:eastAsia="fr-FR"/>
        </w:rPr>
        <w:drawing>
          <wp:anchor distT="0" distB="0" distL="114300" distR="114300" simplePos="0" relativeHeight="251652096" behindDoc="0" locked="0" layoutInCell="1" allowOverlap="1" wp14:anchorId="3D09D43A" wp14:editId="3D1F82EC">
            <wp:simplePos x="0" y="0"/>
            <wp:positionH relativeFrom="page">
              <wp:posOffset>2024380</wp:posOffset>
            </wp:positionH>
            <wp:positionV relativeFrom="paragraph">
              <wp:posOffset>8890</wp:posOffset>
            </wp:positionV>
            <wp:extent cx="3092450" cy="1160918"/>
            <wp:effectExtent l="0" t="0" r="0" b="127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92450" cy="1160918"/>
                    </a:xfrm>
                    <a:prstGeom prst="rect">
                      <a:avLst/>
                    </a:prstGeom>
                  </pic:spPr>
                </pic:pic>
              </a:graphicData>
            </a:graphic>
          </wp:anchor>
        </w:drawing>
      </w:r>
    </w:p>
    <w:p w:rsidR="0017580C" w:rsidRDefault="0017580C" w:rsidP="0017580C">
      <w:pPr>
        <w:rPr>
          <w:lang w:val="fr-FR"/>
        </w:rPr>
      </w:pPr>
    </w:p>
    <w:p w:rsidR="0017580C" w:rsidRDefault="0017580C" w:rsidP="0017580C">
      <w:pPr>
        <w:rPr>
          <w:lang w:val="fr-FR"/>
        </w:rPr>
      </w:pPr>
    </w:p>
    <w:p w:rsidR="0017580C" w:rsidRDefault="0017580C" w:rsidP="0017580C">
      <w:pPr>
        <w:rPr>
          <w:lang w:val="fr-FR"/>
        </w:rPr>
      </w:pPr>
    </w:p>
    <w:p w:rsidR="004E4CEF" w:rsidRPr="00217C23" w:rsidRDefault="004E4CEF" w:rsidP="004E4CEF">
      <w:pPr>
        <w:pStyle w:val="Paragraphedeliste"/>
        <w:ind w:left="1440"/>
        <w:rPr>
          <w:b/>
          <w:bCs/>
          <w:lang w:val="fr-FR"/>
        </w:rPr>
      </w:pPr>
    </w:p>
    <w:p w:rsidR="0017580C" w:rsidRPr="00741125" w:rsidRDefault="0017580C" w:rsidP="0017580C">
      <w:pPr>
        <w:pStyle w:val="Paragraphedeliste"/>
        <w:numPr>
          <w:ilvl w:val="0"/>
          <w:numId w:val="2"/>
        </w:numPr>
        <w:rPr>
          <w:b/>
          <w:bCs/>
        </w:rPr>
      </w:pPr>
      <w:r w:rsidRPr="00741125">
        <w:rPr>
          <w:b/>
          <w:bCs/>
        </w:rPr>
        <w:t>La méthode historique:</w:t>
      </w:r>
    </w:p>
    <w:p w:rsidR="0017580C" w:rsidRPr="003758D6" w:rsidRDefault="0017580C" w:rsidP="0017580C">
      <w:pPr>
        <w:rPr>
          <w:lang w:val="fr-FR"/>
        </w:rPr>
      </w:pPr>
      <w:r w:rsidRPr="003758D6">
        <w:rPr>
          <w:lang w:val="fr-FR"/>
        </w:rPr>
        <w:t xml:space="preserve">Qui repose sur le fait que la valeur des instruments financiers est égale à la valeur initiale diminuée de l’amortissement cumulé.  </w:t>
      </w:r>
    </w:p>
    <w:p w:rsidR="0017580C" w:rsidRPr="00741125" w:rsidRDefault="0017580C" w:rsidP="0017580C">
      <w:pPr>
        <w:pStyle w:val="Paragraphedeliste"/>
        <w:numPr>
          <w:ilvl w:val="0"/>
          <w:numId w:val="2"/>
        </w:numPr>
        <w:rPr>
          <w:b/>
          <w:bCs/>
        </w:rPr>
      </w:pPr>
      <w:r w:rsidRPr="00741125">
        <w:rPr>
          <w:b/>
          <w:bCs/>
        </w:rPr>
        <w:t xml:space="preserve">La méthode Mark-To-Market: </w:t>
      </w:r>
    </w:p>
    <w:p w:rsidR="0017580C" w:rsidRDefault="0017580C" w:rsidP="0017580C">
      <w:pPr>
        <w:rPr>
          <w:lang w:val="fr-FR"/>
        </w:rPr>
      </w:pPr>
      <w:r w:rsidRPr="003758D6">
        <w:rPr>
          <w:lang w:val="fr-FR"/>
        </w:rPr>
        <w:t xml:space="preserve">Les instruments financiers sont valorisés, selon cette méthode, par les prix de marché, ou dans le cas d’indisponibilité de prix associés, en actualisant la </w:t>
      </w:r>
      <w:r>
        <w:rPr>
          <w:lang w:val="fr-FR"/>
        </w:rPr>
        <w:t>V</w:t>
      </w:r>
      <w:r w:rsidRPr="003758D6">
        <w:rPr>
          <w:lang w:val="fr-FR"/>
        </w:rPr>
        <w:t xml:space="preserve">aleur </w:t>
      </w:r>
      <w:r>
        <w:rPr>
          <w:lang w:val="fr-FR"/>
        </w:rPr>
        <w:t>A</w:t>
      </w:r>
      <w:r w:rsidRPr="003758D6">
        <w:rPr>
          <w:lang w:val="fr-FR"/>
        </w:rPr>
        <w:t xml:space="preserve">ctuelle </w:t>
      </w:r>
      <w:r>
        <w:rPr>
          <w:lang w:val="fr-FR"/>
        </w:rPr>
        <w:t>N</w:t>
      </w:r>
      <w:r w:rsidRPr="003758D6">
        <w:rPr>
          <w:lang w:val="fr-FR"/>
        </w:rPr>
        <w:t xml:space="preserve">ette des flux attendus.  </w:t>
      </w:r>
    </w:p>
    <w:p w:rsidR="00F51A1F" w:rsidRDefault="00F51A1F" w:rsidP="0017580C">
      <w:pPr>
        <w:rPr>
          <w:lang w:val="fr-FR"/>
        </w:rPr>
      </w:pPr>
    </w:p>
    <w:bookmarkEnd w:id="2"/>
    <w:p w:rsidR="0017580C" w:rsidRPr="00943689" w:rsidRDefault="0017580C" w:rsidP="0017580C">
      <w:pPr>
        <w:pStyle w:val="Titre1"/>
        <w:rPr>
          <w:b w:val="0"/>
          <w:bCs w:val="0"/>
          <w:lang w:val="fr-FR"/>
        </w:rPr>
      </w:pPr>
      <w:r w:rsidRPr="00741125">
        <w:rPr>
          <w:lang w:val="fr-FR"/>
        </w:rPr>
        <w:t xml:space="preserve">L’Economic Value : Un pilier </w:t>
      </w:r>
      <w:r>
        <w:rPr>
          <w:lang w:val="fr-FR"/>
        </w:rPr>
        <w:t>important au sein d’IRRBB</w:t>
      </w:r>
    </w:p>
    <w:p w:rsidR="0017580C" w:rsidRDefault="0017580C" w:rsidP="0017580C">
      <w:pPr>
        <w:rPr>
          <w:lang w:val="fr-FR"/>
        </w:rPr>
      </w:pPr>
      <w:r w:rsidRPr="00E54CB9">
        <w:rPr>
          <w:lang w:val="fr-FR"/>
        </w:rPr>
        <w:t xml:space="preserve">La mesure de l’appétence aux risques d’une banque passe non seulement par le suivi des marges nettes d’intérêts mais également par le calcul de la variation des prix des produits sensibles au scénarii de taux. Cette approche qui se base sur l’EVE, non évidente à quantifier, est un réel challenge réglementaire pour l’année 2018 par l’importance de son impact mais aussi par la complexité de sa mesure. </w:t>
      </w:r>
    </w:p>
    <w:p w:rsidR="0017580C" w:rsidRPr="00E54CB9" w:rsidRDefault="0017580C" w:rsidP="0017580C">
      <w:pPr>
        <w:rPr>
          <w:lang w:val="fr-FR"/>
        </w:rPr>
      </w:pPr>
      <w:r>
        <w:rPr>
          <w:lang w:val="fr-FR"/>
        </w:rPr>
        <w:t xml:space="preserve">Dans le paragraphe suivant, nous nous intéressons à la quantification de l’EVE et détaillons les calculs associés.  </w:t>
      </w:r>
    </w:p>
    <w:p w:rsidR="0017580C" w:rsidRDefault="0017580C" w:rsidP="0017580C">
      <w:pPr>
        <w:pStyle w:val="Titre2"/>
        <w:rPr>
          <w:lang w:val="fr-FR"/>
        </w:rPr>
      </w:pPr>
      <w:r>
        <w:rPr>
          <w:lang w:val="fr-FR"/>
        </w:rPr>
        <w:t xml:space="preserve">EVE : Comment s’y prend-t-on pour modéliser ? </w:t>
      </w:r>
    </w:p>
    <w:p w:rsidR="0017580C" w:rsidRPr="00741125" w:rsidRDefault="0017580C" w:rsidP="0017580C">
      <w:pPr>
        <w:rPr>
          <w:lang w:val="fr-FR"/>
        </w:rPr>
      </w:pPr>
      <w:r w:rsidRPr="00741125">
        <w:rPr>
          <w:lang w:val="fr-FR"/>
        </w:rPr>
        <w:t>La technique fondée sur l’EV</w:t>
      </w:r>
      <w:r>
        <w:rPr>
          <w:lang w:val="fr-FR"/>
        </w:rPr>
        <w:t>E</w:t>
      </w:r>
      <w:r w:rsidRPr="00741125">
        <w:rPr>
          <w:lang w:val="fr-FR"/>
        </w:rPr>
        <w:t xml:space="preserve"> repose sur la quantification des variations de la V.A.N (Valeur </w:t>
      </w:r>
      <w:r>
        <w:rPr>
          <w:lang w:val="fr-FR"/>
        </w:rPr>
        <w:t>A</w:t>
      </w:r>
      <w:r w:rsidRPr="00741125">
        <w:rPr>
          <w:lang w:val="fr-FR"/>
        </w:rPr>
        <w:t xml:space="preserve">ctuelle </w:t>
      </w:r>
      <w:r>
        <w:rPr>
          <w:lang w:val="fr-FR"/>
        </w:rPr>
        <w:t>N</w:t>
      </w:r>
      <w:r w:rsidRPr="00741125">
        <w:rPr>
          <w:lang w:val="fr-FR"/>
        </w:rPr>
        <w:t xml:space="preserve">ette) des différents postes de bilan et hors bilan. </w:t>
      </w:r>
    </w:p>
    <w:p w:rsidR="0017580C" w:rsidRDefault="0017580C" w:rsidP="0017580C">
      <w:pPr>
        <w:rPr>
          <w:lang w:val="fr-FR"/>
        </w:rPr>
      </w:pPr>
      <w:r w:rsidRPr="00741125">
        <w:rPr>
          <w:lang w:val="fr-FR"/>
        </w:rPr>
        <w:t xml:space="preserve">Cette méthode met en évidence les </w:t>
      </w:r>
      <w:r>
        <w:rPr>
          <w:lang w:val="fr-FR"/>
        </w:rPr>
        <w:t>mouvements</w:t>
      </w:r>
      <w:r w:rsidRPr="00741125">
        <w:rPr>
          <w:lang w:val="fr-FR"/>
        </w:rPr>
        <w:t xml:space="preserve"> des prix et valeurs des produits sur leur durée résiduelle, donc jusqu’à leur maturité. </w:t>
      </w:r>
    </w:p>
    <w:p w:rsidR="004E4CEF" w:rsidRDefault="0017580C" w:rsidP="00836CAA">
      <w:pPr>
        <w:rPr>
          <w:lang w:val="fr-FR"/>
        </w:rPr>
      </w:pPr>
      <w:r>
        <w:rPr>
          <w:lang w:val="fr-FR"/>
        </w:rPr>
        <w:t>Pour quantifier la méthode permettant le calcul du risque de pertes de l’EVE des Fonds propres, o</w:t>
      </w:r>
      <w:r w:rsidRPr="00741125">
        <w:rPr>
          <w:lang w:val="fr-FR"/>
        </w:rPr>
        <w:t xml:space="preserve">n se donne un Scénario « s » et une devise «c ». </w:t>
      </w:r>
    </w:p>
    <w:p w:rsidR="00836CAA" w:rsidRDefault="00836CAA" w:rsidP="00836CAA">
      <w:pPr>
        <w:rPr>
          <w:lang w:val="fr-FR"/>
        </w:rPr>
      </w:pPr>
    </w:p>
    <w:p w:rsidR="0017580C" w:rsidRPr="00AC3FA7" w:rsidRDefault="0017580C" w:rsidP="0017580C">
      <w:pPr>
        <w:rPr>
          <w:lang w:val="fr-FR"/>
        </w:rPr>
      </w:pPr>
      <w:r w:rsidRPr="00AC3FA7">
        <w:rPr>
          <w:lang w:val="fr-FR"/>
        </w:rPr>
        <w:t>Nous rappelons que selon le principe 3 du comité de Bâle, les niveaux d'expositions IRRBB pour le calcul de l'économique value ou la marge nette d'intérêt doivent être corrélés aux niveaux d’appétence pour risque de la banque. </w:t>
      </w:r>
    </w:p>
    <w:p w:rsidR="0017580C" w:rsidRPr="00741125" w:rsidRDefault="0017580C" w:rsidP="0017580C">
      <w:pPr>
        <w:rPr>
          <w:lang w:val="fr-FR"/>
        </w:rPr>
      </w:pPr>
      <w:r w:rsidRPr="00741125">
        <w:rPr>
          <w:lang w:val="fr-FR"/>
        </w:rPr>
        <w:t xml:space="preserve">Chaque scénario </w:t>
      </w:r>
      <w:r>
        <w:rPr>
          <w:lang w:val="fr-FR"/>
        </w:rPr>
        <w:t>« </w:t>
      </w:r>
      <w:r w:rsidRPr="00741125">
        <w:rPr>
          <w:lang w:val="fr-FR"/>
        </w:rPr>
        <w:t>s</w:t>
      </w:r>
      <w:r>
        <w:rPr>
          <w:lang w:val="fr-FR"/>
        </w:rPr>
        <w:t> »</w:t>
      </w:r>
      <w:r w:rsidRPr="00741125">
        <w:rPr>
          <w:lang w:val="fr-FR"/>
        </w:rPr>
        <w:t xml:space="preserve"> engendre des flux de révision</w:t>
      </w:r>
      <w:r>
        <w:rPr>
          <w:lang w:val="fr-FR"/>
        </w:rPr>
        <w:t xml:space="preserve"> des taux d’intérêt</w:t>
      </w:r>
      <w:r w:rsidRPr="00741125">
        <w:rPr>
          <w:lang w:val="fr-FR"/>
        </w:rPr>
        <w:t xml:space="preserve">. </w:t>
      </w:r>
    </w:p>
    <w:p w:rsidR="0017580C" w:rsidRPr="00741125" w:rsidRDefault="00682596" w:rsidP="0017580C">
      <w:pPr>
        <w:rPr>
          <w:rFonts w:cstheme="minorHAnsi"/>
          <w:lang w:val="fr-FR"/>
        </w:rPr>
      </w:pPr>
      <w:r>
        <w:rPr>
          <w:noProof/>
        </w:rPr>
        <w:lastRenderedPageBreak/>
        <w:drawing>
          <wp:anchor distT="0" distB="0" distL="114300" distR="114300" simplePos="0" relativeHeight="251668480" behindDoc="0" locked="0" layoutInCell="1" allowOverlap="1" wp14:anchorId="7CEE6701" wp14:editId="60F2984F">
            <wp:simplePos x="0" y="0"/>
            <wp:positionH relativeFrom="margin">
              <wp:posOffset>2206625</wp:posOffset>
            </wp:positionH>
            <wp:positionV relativeFrom="paragraph">
              <wp:posOffset>128905</wp:posOffset>
            </wp:positionV>
            <wp:extent cx="133350" cy="296589"/>
            <wp:effectExtent l="0" t="0" r="0" b="825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3350" cy="296589"/>
                    </a:xfrm>
                    <a:prstGeom prst="rect">
                      <a:avLst/>
                    </a:prstGeom>
                  </pic:spPr>
                </pic:pic>
              </a:graphicData>
            </a:graphic>
            <wp14:sizeRelH relativeFrom="page">
              <wp14:pctWidth>0</wp14:pctWidth>
            </wp14:sizeRelH>
            <wp14:sizeRelV relativeFrom="page">
              <wp14:pctHeight>0</wp14:pctHeight>
            </wp14:sizeRelV>
          </wp:anchor>
        </w:drawing>
      </w:r>
      <w:r w:rsidR="0017580C" w:rsidRPr="00741125">
        <w:rPr>
          <w:lang w:val="fr-FR"/>
        </w:rPr>
        <w:t xml:space="preserve">On inscrit les flux de trésorerie dans des tranches temporelles i </w:t>
      </w:r>
      <w:r w:rsidR="0017580C">
        <w:rPr>
          <w:rFonts w:cstheme="minorHAnsi"/>
        </w:rPr>
        <w:t>Ꞓ</w:t>
      </w:r>
      <w:r w:rsidR="0017580C" w:rsidRPr="00741125">
        <w:rPr>
          <w:rFonts w:cstheme="minorHAnsi"/>
          <w:lang w:val="fr-FR"/>
        </w:rPr>
        <w:t xml:space="preserve"> {1, 2,…..K}, pour chaque tranche temporelle, nous associons des points</w:t>
      </w:r>
      <w:r w:rsidR="0017580C">
        <w:rPr>
          <w:rFonts w:cstheme="minorHAnsi"/>
          <w:lang w:val="fr-FR"/>
        </w:rPr>
        <w:t xml:space="preserve"> </w:t>
      </w:r>
      <w:r w:rsidR="0017580C" w:rsidRPr="00741125">
        <w:rPr>
          <w:rFonts w:cstheme="minorHAnsi"/>
          <w:lang w:val="fr-FR"/>
        </w:rPr>
        <w:t xml:space="preserve"> </w:t>
      </w:r>
      <w:r w:rsidR="0017580C">
        <w:rPr>
          <w:rFonts w:cstheme="minorHAnsi"/>
          <w:lang w:val="fr-FR"/>
        </w:rPr>
        <w:t xml:space="preserve">      </w:t>
      </w:r>
      <w:r w:rsidR="0017580C" w:rsidRPr="00741125">
        <w:rPr>
          <w:rFonts w:eastAsiaTheme="minorEastAsia" w:cstheme="minorHAnsi"/>
          <w:lang w:val="fr-FR"/>
        </w:rPr>
        <w:t xml:space="preserve">où </w:t>
      </w:r>
      <w:r w:rsidR="0017580C" w:rsidRPr="00741125">
        <w:rPr>
          <w:lang w:val="fr-FR"/>
        </w:rPr>
        <w:t xml:space="preserve">i </w:t>
      </w:r>
      <w:r w:rsidR="0017580C">
        <w:rPr>
          <w:rFonts w:cstheme="minorHAnsi"/>
        </w:rPr>
        <w:t>Ꞓ</w:t>
      </w:r>
      <w:r w:rsidR="0017580C" w:rsidRPr="00741125">
        <w:rPr>
          <w:rFonts w:cstheme="minorHAnsi"/>
          <w:lang w:val="fr-FR"/>
        </w:rPr>
        <w:t xml:space="preserve"> {1, 2,…..K}. </w:t>
      </w:r>
    </w:p>
    <w:p w:rsidR="0017580C" w:rsidRPr="00741125" w:rsidRDefault="0017580C" w:rsidP="0017580C">
      <w:pPr>
        <w:rPr>
          <w:lang w:val="fr-FR"/>
        </w:rPr>
      </w:pPr>
      <w:r w:rsidRPr="00741125">
        <w:rPr>
          <w:lang w:val="fr-FR"/>
        </w:rPr>
        <w:t xml:space="preserve">Pour le scénario </w:t>
      </w:r>
      <w:r>
        <w:rPr>
          <w:lang w:val="fr-FR"/>
        </w:rPr>
        <w:t>« </w:t>
      </w:r>
      <w:r w:rsidRPr="00741125">
        <w:rPr>
          <w:lang w:val="fr-FR"/>
        </w:rPr>
        <w:t>s</w:t>
      </w:r>
      <w:r>
        <w:rPr>
          <w:lang w:val="fr-FR"/>
        </w:rPr>
        <w:t> »</w:t>
      </w:r>
      <w:r w:rsidRPr="00741125">
        <w:rPr>
          <w:lang w:val="fr-FR"/>
        </w:rPr>
        <w:t xml:space="preserve"> et la devise </w:t>
      </w:r>
      <w:r>
        <w:rPr>
          <w:lang w:val="fr-FR"/>
        </w:rPr>
        <w:t>« </w:t>
      </w:r>
      <w:r w:rsidRPr="00741125">
        <w:rPr>
          <w:lang w:val="fr-FR"/>
        </w:rPr>
        <w:t>c</w:t>
      </w:r>
      <w:r>
        <w:rPr>
          <w:lang w:val="fr-FR"/>
        </w:rPr>
        <w:t> »</w:t>
      </w:r>
      <w:r w:rsidRPr="00741125">
        <w:rPr>
          <w:lang w:val="fr-FR"/>
        </w:rPr>
        <w:t xml:space="preserve">, nous avons une série de flux de trésoreries : </w:t>
      </w:r>
    </w:p>
    <w:p w:rsidR="0017580C" w:rsidRDefault="0017580C" w:rsidP="0017580C">
      <w:pPr>
        <w:rPr>
          <w:lang w:val="fr-FR"/>
        </w:rPr>
      </w:pPr>
      <w:r>
        <w:rPr>
          <w:noProof/>
        </w:rPr>
        <w:drawing>
          <wp:anchor distT="0" distB="0" distL="114300" distR="114300" simplePos="0" relativeHeight="251654144" behindDoc="0" locked="0" layoutInCell="1" allowOverlap="1" wp14:anchorId="55C9EDC8" wp14:editId="3EB3FEC1">
            <wp:simplePos x="0" y="0"/>
            <wp:positionH relativeFrom="column">
              <wp:posOffset>1285876</wp:posOffset>
            </wp:positionH>
            <wp:positionV relativeFrom="paragraph">
              <wp:posOffset>83185</wp:posOffset>
            </wp:positionV>
            <wp:extent cx="1860550" cy="267613"/>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71532" cy="269193"/>
                    </a:xfrm>
                    <a:prstGeom prst="rect">
                      <a:avLst/>
                    </a:prstGeom>
                  </pic:spPr>
                </pic:pic>
              </a:graphicData>
            </a:graphic>
            <wp14:sizeRelH relativeFrom="page">
              <wp14:pctWidth>0</wp14:pctWidth>
            </wp14:sizeRelH>
            <wp14:sizeRelV relativeFrom="page">
              <wp14:pctHeight>0</wp14:pctHeight>
            </wp14:sizeRelV>
          </wp:anchor>
        </w:drawing>
      </w:r>
    </w:p>
    <w:p w:rsidR="0017580C" w:rsidRDefault="0017580C" w:rsidP="0017580C">
      <w:pPr>
        <w:rPr>
          <w:lang w:val="fr-FR"/>
        </w:rPr>
      </w:pPr>
    </w:p>
    <w:p w:rsidR="0017580C" w:rsidRPr="00741125" w:rsidRDefault="0017580C" w:rsidP="0017580C">
      <w:pPr>
        <w:rPr>
          <w:lang w:val="fr-FR"/>
        </w:rPr>
      </w:pPr>
      <w:r w:rsidRPr="00741125">
        <w:rPr>
          <w:lang w:val="fr-FR"/>
        </w:rPr>
        <w:t xml:space="preserve">Les flux d’actualisation de ces cash-flows sont calculés de la manière suivante : </w:t>
      </w:r>
    </w:p>
    <w:p w:rsidR="0017580C" w:rsidRPr="000F2DED" w:rsidRDefault="0017580C" w:rsidP="0017580C">
      <w:pPr>
        <w:rPr>
          <w:rFonts w:eastAsiaTheme="minorEastAsia"/>
          <w:lang w:val="fr-FR"/>
        </w:rPr>
      </w:pPr>
      <w:r>
        <w:rPr>
          <w:noProof/>
        </w:rPr>
        <w:drawing>
          <wp:anchor distT="0" distB="0" distL="114300" distR="114300" simplePos="0" relativeHeight="251657216" behindDoc="0" locked="0" layoutInCell="1" allowOverlap="1" wp14:anchorId="1A40F793" wp14:editId="4966847D">
            <wp:simplePos x="0" y="0"/>
            <wp:positionH relativeFrom="column">
              <wp:posOffset>1108075</wp:posOffset>
            </wp:positionH>
            <wp:positionV relativeFrom="paragraph">
              <wp:posOffset>64770</wp:posOffset>
            </wp:positionV>
            <wp:extent cx="2139950" cy="255717"/>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85378" cy="261145"/>
                    </a:xfrm>
                    <a:prstGeom prst="rect">
                      <a:avLst/>
                    </a:prstGeom>
                  </pic:spPr>
                </pic:pic>
              </a:graphicData>
            </a:graphic>
            <wp14:sizeRelH relativeFrom="page">
              <wp14:pctWidth>0</wp14:pctWidth>
            </wp14:sizeRelH>
            <wp14:sizeRelV relativeFrom="page">
              <wp14:pctHeight>0</wp14:pctHeight>
            </wp14:sizeRelV>
          </wp:anchor>
        </w:drawing>
      </w:r>
    </w:p>
    <w:p w:rsidR="0017580C" w:rsidRDefault="0017580C" w:rsidP="0017580C">
      <w:pPr>
        <w:rPr>
          <w:lang w:val="fr-FR"/>
        </w:rPr>
      </w:pPr>
    </w:p>
    <w:p w:rsidR="0017580C" w:rsidRPr="00752B15" w:rsidRDefault="0017580C" w:rsidP="0017580C">
      <w:pPr>
        <w:rPr>
          <w:color w:val="FF0000"/>
          <w:lang w:val="fr-FR"/>
        </w:rPr>
      </w:pPr>
      <w:r>
        <w:rPr>
          <w:noProof/>
        </w:rPr>
        <w:drawing>
          <wp:anchor distT="0" distB="0" distL="114300" distR="114300" simplePos="0" relativeHeight="251658240" behindDoc="0" locked="0" layoutInCell="1" allowOverlap="1" wp14:anchorId="7CF59130" wp14:editId="73CFE036">
            <wp:simplePos x="0" y="0"/>
            <wp:positionH relativeFrom="column">
              <wp:posOffset>5387975</wp:posOffset>
            </wp:positionH>
            <wp:positionV relativeFrom="paragraph">
              <wp:posOffset>166370</wp:posOffset>
            </wp:positionV>
            <wp:extent cx="450850" cy="247650"/>
            <wp:effectExtent l="0" t="0" r="635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50850" cy="247650"/>
                    </a:xfrm>
                    <a:prstGeom prst="rect">
                      <a:avLst/>
                    </a:prstGeom>
                  </pic:spPr>
                </pic:pic>
              </a:graphicData>
            </a:graphic>
            <wp14:sizeRelH relativeFrom="page">
              <wp14:pctWidth>0</wp14:pctWidth>
            </wp14:sizeRelH>
            <wp14:sizeRelV relativeFrom="page">
              <wp14:pctHeight>0</wp14:pctHeight>
            </wp14:sizeRelV>
          </wp:anchor>
        </w:drawing>
      </w:r>
      <w:r w:rsidRPr="00741125">
        <w:rPr>
          <w:lang w:val="fr-FR"/>
        </w:rPr>
        <w:t xml:space="preserve">Où l’actualisation se fait via des taux d’intérêts sans risque ou incluant les autres </w:t>
      </w:r>
      <w:r w:rsidRPr="00AC3FA7">
        <w:rPr>
          <w:lang w:val="fr-FR"/>
        </w:rPr>
        <w:t xml:space="preserve">composantes de taux, dans cet exemple, nous supposons dans le cas présent, que le taux sans risque est égal </w:t>
      </w:r>
      <w:r>
        <w:rPr>
          <w:lang w:val="fr-FR"/>
        </w:rPr>
        <w:t xml:space="preserve">à                </w:t>
      </w:r>
    </w:p>
    <w:p w:rsidR="0017580C" w:rsidRPr="000F2DED" w:rsidRDefault="0017580C" w:rsidP="0017580C">
      <w:pPr>
        <w:rPr>
          <w:lang w:val="fr-FR"/>
        </w:rPr>
      </w:pPr>
      <w:r>
        <w:rPr>
          <w:lang w:val="fr-FR"/>
        </w:rPr>
        <w:t>L’EVE</w:t>
      </w:r>
      <w:r w:rsidRPr="00741125">
        <w:rPr>
          <w:lang w:val="fr-FR"/>
        </w:rPr>
        <w:t xml:space="preserve"> se calcule donc via les formules suivantes : </w:t>
      </w:r>
    </w:p>
    <w:p w:rsidR="0017580C" w:rsidRPr="000F2DED" w:rsidRDefault="0017580C" w:rsidP="0017580C">
      <w:pPr>
        <w:rPr>
          <w:lang w:val="fr-FR"/>
        </w:rPr>
      </w:pPr>
      <w:r>
        <w:rPr>
          <w:noProof/>
        </w:rPr>
        <w:drawing>
          <wp:anchor distT="0" distB="0" distL="114300" distR="114300" simplePos="0" relativeHeight="251659264" behindDoc="0" locked="0" layoutInCell="1" allowOverlap="1" wp14:anchorId="08D9688A" wp14:editId="178C1F6C">
            <wp:simplePos x="0" y="0"/>
            <wp:positionH relativeFrom="margin">
              <wp:posOffset>171450</wp:posOffset>
            </wp:positionH>
            <wp:positionV relativeFrom="paragraph">
              <wp:posOffset>50165</wp:posOffset>
            </wp:positionV>
            <wp:extent cx="5302885" cy="645160"/>
            <wp:effectExtent l="0" t="0" r="0" b="254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302885" cy="645160"/>
                    </a:xfrm>
                    <a:prstGeom prst="rect">
                      <a:avLst/>
                    </a:prstGeom>
                  </pic:spPr>
                </pic:pic>
              </a:graphicData>
            </a:graphic>
            <wp14:sizeRelH relativeFrom="page">
              <wp14:pctWidth>0</wp14:pctWidth>
            </wp14:sizeRelH>
            <wp14:sizeRelV relativeFrom="page">
              <wp14:pctHeight>0</wp14:pctHeight>
            </wp14:sizeRelV>
          </wp:anchor>
        </w:drawing>
      </w:r>
    </w:p>
    <w:p w:rsidR="0017580C" w:rsidRDefault="0017580C" w:rsidP="0017580C">
      <w:pPr>
        <w:rPr>
          <w:lang w:val="fr-FR"/>
        </w:rPr>
      </w:pPr>
    </w:p>
    <w:p w:rsidR="0017580C" w:rsidRDefault="00F51A1F" w:rsidP="0017580C">
      <w:pPr>
        <w:rPr>
          <w:lang w:val="fr-FR"/>
        </w:rPr>
      </w:pPr>
      <w:r>
        <w:rPr>
          <w:noProof/>
        </w:rPr>
        <w:drawing>
          <wp:anchor distT="0" distB="0" distL="114300" distR="114300" simplePos="0" relativeHeight="251669504" behindDoc="0" locked="0" layoutInCell="1" allowOverlap="1" wp14:anchorId="198033F8">
            <wp:simplePos x="0" y="0"/>
            <wp:positionH relativeFrom="column">
              <wp:posOffset>147955</wp:posOffset>
            </wp:positionH>
            <wp:positionV relativeFrom="paragraph">
              <wp:posOffset>236855</wp:posOffset>
            </wp:positionV>
            <wp:extent cx="5321300" cy="63204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21300" cy="632048"/>
                    </a:xfrm>
                    <a:prstGeom prst="rect">
                      <a:avLst/>
                    </a:prstGeom>
                  </pic:spPr>
                </pic:pic>
              </a:graphicData>
            </a:graphic>
            <wp14:sizeRelH relativeFrom="page">
              <wp14:pctWidth>0</wp14:pctWidth>
            </wp14:sizeRelH>
            <wp14:sizeRelV relativeFrom="page">
              <wp14:pctHeight>0</wp14:pctHeight>
            </wp14:sizeRelV>
          </wp:anchor>
        </w:drawing>
      </w:r>
    </w:p>
    <w:p w:rsidR="0017580C" w:rsidRDefault="0017580C" w:rsidP="0017580C">
      <w:pPr>
        <w:rPr>
          <w:lang w:val="fr-FR"/>
        </w:rPr>
      </w:pPr>
    </w:p>
    <w:p w:rsidR="0017580C" w:rsidRDefault="0017580C" w:rsidP="0017580C">
      <w:pPr>
        <w:rPr>
          <w:lang w:val="fr-FR"/>
        </w:rPr>
      </w:pPr>
    </w:p>
    <w:p w:rsidR="0017580C" w:rsidRPr="000F2DED" w:rsidRDefault="0017580C" w:rsidP="0017580C">
      <w:pPr>
        <w:rPr>
          <w:lang w:val="fr-FR"/>
        </w:rPr>
      </w:pPr>
    </w:p>
    <w:p w:rsidR="0017580C" w:rsidRPr="00741125" w:rsidRDefault="0017580C" w:rsidP="0017580C">
      <w:pPr>
        <w:rPr>
          <w:lang w:val="fr-FR"/>
        </w:rPr>
      </w:pPr>
      <w:r w:rsidRPr="00741125">
        <w:rPr>
          <w:lang w:val="fr-FR"/>
        </w:rPr>
        <w:t xml:space="preserve">Ce calcul n’inclut pas les calculs des risques liés aux portefeuilles d’option. </w:t>
      </w:r>
    </w:p>
    <w:p w:rsidR="0017580C" w:rsidRPr="00741125" w:rsidRDefault="0017580C" w:rsidP="0017580C">
      <w:pPr>
        <w:rPr>
          <w:lang w:val="fr-FR"/>
        </w:rPr>
      </w:pPr>
      <w:r w:rsidRPr="00741125">
        <w:rPr>
          <w:lang w:val="fr-FR"/>
        </w:rPr>
        <w:t xml:space="preserve">La variation totale de l’EVE pour une devise c pour un scénario s par rapport au scénario de référence </w:t>
      </w:r>
      <w:r>
        <w:rPr>
          <w:lang w:val="fr-FR"/>
        </w:rPr>
        <w:t>« </w:t>
      </w:r>
      <w:r w:rsidRPr="00741125">
        <w:rPr>
          <w:i/>
          <w:iCs/>
          <w:lang w:val="fr-FR"/>
        </w:rPr>
        <w:t>sref</w:t>
      </w:r>
      <w:r>
        <w:rPr>
          <w:i/>
          <w:iCs/>
          <w:lang w:val="fr-FR"/>
        </w:rPr>
        <w:t> »</w:t>
      </w:r>
      <w:r w:rsidRPr="00741125">
        <w:rPr>
          <w:lang w:val="fr-FR"/>
        </w:rPr>
        <w:t xml:space="preserve"> se calcule, en raisonnant par points médians, comme suit : </w:t>
      </w:r>
    </w:p>
    <w:p w:rsidR="0017580C" w:rsidRDefault="0017580C" w:rsidP="0017580C">
      <w:pPr>
        <w:rPr>
          <w:lang w:val="fr-FR"/>
        </w:rPr>
      </w:pPr>
      <w:r>
        <w:rPr>
          <w:noProof/>
        </w:rPr>
        <w:drawing>
          <wp:anchor distT="0" distB="0" distL="114300" distR="114300" simplePos="0" relativeHeight="251662336" behindDoc="0" locked="0" layoutInCell="1" allowOverlap="1" wp14:anchorId="27755026" wp14:editId="5A9080BE">
            <wp:simplePos x="0" y="0"/>
            <wp:positionH relativeFrom="column">
              <wp:posOffset>60325</wp:posOffset>
            </wp:positionH>
            <wp:positionV relativeFrom="paragraph">
              <wp:posOffset>22225</wp:posOffset>
            </wp:positionV>
            <wp:extent cx="5302885" cy="550630"/>
            <wp:effectExtent l="0" t="0" r="0" b="190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302885" cy="550630"/>
                    </a:xfrm>
                    <a:prstGeom prst="rect">
                      <a:avLst/>
                    </a:prstGeom>
                  </pic:spPr>
                </pic:pic>
              </a:graphicData>
            </a:graphic>
            <wp14:sizeRelH relativeFrom="page">
              <wp14:pctWidth>0</wp14:pctWidth>
            </wp14:sizeRelH>
            <wp14:sizeRelV relativeFrom="page">
              <wp14:pctHeight>0</wp14:pctHeight>
            </wp14:sizeRelV>
          </wp:anchor>
        </w:drawing>
      </w:r>
    </w:p>
    <w:p w:rsidR="0017580C" w:rsidRDefault="0017580C" w:rsidP="0017580C">
      <w:pPr>
        <w:rPr>
          <w:lang w:val="fr-FR"/>
        </w:rPr>
      </w:pPr>
    </w:p>
    <w:p w:rsidR="0017580C" w:rsidRDefault="0017580C" w:rsidP="0017580C">
      <w:pPr>
        <w:rPr>
          <w:lang w:val="fr-FR"/>
        </w:rPr>
      </w:pPr>
      <w:r>
        <w:rPr>
          <w:noProof/>
        </w:rPr>
        <w:drawing>
          <wp:anchor distT="0" distB="0" distL="114300" distR="114300" simplePos="0" relativeHeight="251663360" behindDoc="0" locked="0" layoutInCell="1" allowOverlap="1" wp14:anchorId="74A7E90A" wp14:editId="68A413AD">
            <wp:simplePos x="0" y="0"/>
            <wp:positionH relativeFrom="margin">
              <wp:posOffset>219075</wp:posOffset>
            </wp:positionH>
            <wp:positionV relativeFrom="paragraph">
              <wp:posOffset>257175</wp:posOffset>
            </wp:positionV>
            <wp:extent cx="450850" cy="215691"/>
            <wp:effectExtent l="0" t="0" r="635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50850" cy="215691"/>
                    </a:xfrm>
                    <a:prstGeom prst="rect">
                      <a:avLst/>
                    </a:prstGeom>
                  </pic:spPr>
                </pic:pic>
              </a:graphicData>
            </a:graphic>
            <wp14:sizeRelH relativeFrom="page">
              <wp14:pctWidth>0</wp14:pctWidth>
            </wp14:sizeRelH>
            <wp14:sizeRelV relativeFrom="page">
              <wp14:pctHeight>0</wp14:pctHeight>
            </wp14:sizeRelV>
          </wp:anchor>
        </w:drawing>
      </w:r>
    </w:p>
    <w:p w:rsidR="0017580C" w:rsidRPr="00FE4352" w:rsidRDefault="0017580C" w:rsidP="0017580C">
      <w:pPr>
        <w:rPr>
          <w:lang w:val="fr-FR"/>
        </w:rPr>
      </w:pPr>
      <w:r>
        <w:rPr>
          <w:noProof/>
        </w:rPr>
        <w:drawing>
          <wp:anchor distT="0" distB="0" distL="114300" distR="114300" simplePos="0" relativeHeight="251664384" behindDoc="0" locked="0" layoutInCell="1" allowOverlap="1" wp14:anchorId="7993B52D" wp14:editId="329A7DAE">
            <wp:simplePos x="0" y="0"/>
            <wp:positionH relativeFrom="column">
              <wp:posOffset>1835150</wp:posOffset>
            </wp:positionH>
            <wp:positionV relativeFrom="paragraph">
              <wp:posOffset>196215</wp:posOffset>
            </wp:positionV>
            <wp:extent cx="812800" cy="298450"/>
            <wp:effectExtent l="0" t="0" r="6350"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12800" cy="298450"/>
                    </a:xfrm>
                    <a:prstGeom prst="rect">
                      <a:avLst/>
                    </a:prstGeom>
                  </pic:spPr>
                </pic:pic>
              </a:graphicData>
            </a:graphic>
            <wp14:sizeRelH relativeFrom="page">
              <wp14:pctWidth>0</wp14:pctWidth>
            </wp14:sizeRelH>
            <wp14:sizeRelV relativeFrom="page">
              <wp14:pctHeight>0</wp14:pctHeight>
            </wp14:sizeRelV>
          </wp:anchor>
        </w:drawing>
      </w:r>
      <w:r w:rsidRPr="00741125">
        <w:rPr>
          <w:lang w:val="fr-FR"/>
        </w:rPr>
        <w:t xml:space="preserve">Où </w:t>
      </w:r>
      <w:r>
        <w:rPr>
          <w:lang w:val="fr-FR"/>
        </w:rPr>
        <w:t xml:space="preserve">                </w:t>
      </w:r>
      <w:r w:rsidRPr="00741125">
        <w:rPr>
          <w:rFonts w:eastAsiaTheme="minorEastAsia"/>
          <w:lang w:val="fr-FR"/>
        </w:rPr>
        <w:t>représente le risque d’options sur les sous-jacent taux.</w:t>
      </w:r>
    </w:p>
    <w:p w:rsidR="0017580C" w:rsidRDefault="0017580C" w:rsidP="0017580C">
      <w:pPr>
        <w:rPr>
          <w:lang w:val="fr-FR"/>
        </w:rPr>
      </w:pPr>
      <w:r w:rsidRPr="00741125">
        <w:rPr>
          <w:lang w:val="fr-FR"/>
        </w:rPr>
        <w:t xml:space="preserve">Les pertes d’EVE sont telles que </w:t>
      </w:r>
    </w:p>
    <w:p w:rsidR="004E4CEF" w:rsidRDefault="004E4CEF" w:rsidP="0017580C">
      <w:pPr>
        <w:rPr>
          <w:rFonts w:eastAsiaTheme="minorEastAsia"/>
          <w:lang w:val="fr-FR"/>
        </w:rPr>
      </w:pPr>
    </w:p>
    <w:p w:rsidR="004E4CEF" w:rsidRPr="00741125" w:rsidRDefault="004E4CEF" w:rsidP="0017580C">
      <w:pPr>
        <w:rPr>
          <w:rFonts w:eastAsiaTheme="minorEastAsia"/>
          <w:lang w:val="fr-FR"/>
        </w:rPr>
      </w:pPr>
    </w:p>
    <w:p w:rsidR="0017580C" w:rsidRDefault="0017580C" w:rsidP="0017580C">
      <w:pPr>
        <w:rPr>
          <w:rFonts w:eastAsiaTheme="minorEastAsia"/>
          <w:lang w:val="fr-FR"/>
        </w:rPr>
      </w:pPr>
      <w:r w:rsidRPr="00741125">
        <w:rPr>
          <w:rFonts w:eastAsiaTheme="minorEastAsia"/>
          <w:lang w:val="fr-FR"/>
        </w:rPr>
        <w:t xml:space="preserve">La mesure du risque EVE Standard représente la perte maximale pour l’ensemble des scénarii </w:t>
      </w:r>
      <w:r w:rsidRPr="00741125">
        <w:rPr>
          <w:rFonts w:eastAsiaTheme="minorEastAsia"/>
          <w:i/>
          <w:iCs/>
          <w:lang w:val="fr-FR"/>
        </w:rPr>
        <w:t>k</w:t>
      </w:r>
      <w:r w:rsidRPr="00741125">
        <w:rPr>
          <w:rFonts w:eastAsiaTheme="minorEastAsia"/>
          <w:lang w:val="fr-FR"/>
        </w:rPr>
        <w:t xml:space="preserve"> siulés.</w:t>
      </w:r>
    </w:p>
    <w:p w:rsidR="0017580C" w:rsidRDefault="0017580C" w:rsidP="0017580C">
      <w:pPr>
        <w:rPr>
          <w:lang w:val="fr-FR"/>
        </w:rPr>
      </w:pPr>
      <w:r>
        <w:rPr>
          <w:noProof/>
        </w:rPr>
        <w:drawing>
          <wp:anchor distT="0" distB="0" distL="114300" distR="114300" simplePos="0" relativeHeight="251665408" behindDoc="0" locked="0" layoutInCell="1" allowOverlap="1" wp14:anchorId="6BD43946" wp14:editId="47A6340E">
            <wp:simplePos x="0" y="0"/>
            <wp:positionH relativeFrom="column">
              <wp:posOffset>352425</wp:posOffset>
            </wp:positionH>
            <wp:positionV relativeFrom="paragraph">
              <wp:posOffset>80010</wp:posOffset>
            </wp:positionV>
            <wp:extent cx="4184650" cy="646702"/>
            <wp:effectExtent l="0" t="0" r="6350" b="127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184650" cy="646702"/>
                    </a:xfrm>
                    <a:prstGeom prst="rect">
                      <a:avLst/>
                    </a:prstGeom>
                  </pic:spPr>
                </pic:pic>
              </a:graphicData>
            </a:graphic>
            <wp14:sizeRelH relativeFrom="page">
              <wp14:pctWidth>0</wp14:pctWidth>
            </wp14:sizeRelH>
            <wp14:sizeRelV relativeFrom="page">
              <wp14:pctHeight>0</wp14:pctHeight>
            </wp14:sizeRelV>
          </wp:anchor>
        </w:drawing>
      </w:r>
    </w:p>
    <w:p w:rsidR="0017580C" w:rsidRDefault="0017580C" w:rsidP="0017580C">
      <w:pPr>
        <w:rPr>
          <w:lang w:val="fr-FR"/>
        </w:rPr>
      </w:pPr>
    </w:p>
    <w:p w:rsidR="0017580C" w:rsidRDefault="0017580C" w:rsidP="0017580C">
      <w:pPr>
        <w:rPr>
          <w:lang w:val="fr-FR"/>
        </w:rPr>
      </w:pPr>
    </w:p>
    <w:p w:rsidR="004E4CEF" w:rsidRDefault="004E4CEF" w:rsidP="0017580C">
      <w:pPr>
        <w:rPr>
          <w:lang w:val="fr-FR"/>
        </w:rPr>
      </w:pPr>
    </w:p>
    <w:p w:rsidR="0017580C" w:rsidRPr="00EE6DC8" w:rsidRDefault="004E4CEF" w:rsidP="0017580C">
      <w:pPr>
        <w:rPr>
          <w:rFonts w:ascii="Cambria Math" w:eastAsiaTheme="minorEastAsia" w:hAnsi="Cambria Math"/>
          <w:lang w:val="fr-FR"/>
        </w:rPr>
      </w:pPr>
      <w:r>
        <w:rPr>
          <w:lang w:val="fr-FR"/>
        </w:rPr>
        <w:t>L</w:t>
      </w:r>
      <w:r w:rsidR="0017580C" w:rsidRPr="00741125">
        <w:rPr>
          <w:lang w:val="fr-FR"/>
        </w:rPr>
        <w:t xml:space="preserve">e schéma ci-dessous permet de synthétiser les calculs du risque EVE standard : </w:t>
      </w:r>
    </w:p>
    <w:p w:rsidR="0017580C" w:rsidRDefault="00836CAA" w:rsidP="0017580C">
      <w:pPr>
        <w:rPr>
          <w:lang w:val="fr-FR"/>
        </w:rPr>
      </w:pPr>
      <w:r>
        <w:rPr>
          <w:noProof/>
          <w:lang w:val="fr-FR" w:eastAsia="fr-FR"/>
        </w:rPr>
        <w:drawing>
          <wp:anchor distT="0" distB="0" distL="114300" distR="114300" simplePos="0" relativeHeight="251648000" behindDoc="0" locked="0" layoutInCell="1" allowOverlap="1" wp14:anchorId="4E27E037" wp14:editId="6AD183BB">
            <wp:simplePos x="0" y="0"/>
            <wp:positionH relativeFrom="margin">
              <wp:align>left</wp:align>
            </wp:positionH>
            <wp:positionV relativeFrom="paragraph">
              <wp:posOffset>231807</wp:posOffset>
            </wp:positionV>
            <wp:extent cx="4794801" cy="2367803"/>
            <wp:effectExtent l="0" t="0" r="635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794801" cy="2367803"/>
                    </a:xfrm>
                    <a:prstGeom prst="rect">
                      <a:avLst/>
                    </a:prstGeom>
                  </pic:spPr>
                </pic:pic>
              </a:graphicData>
            </a:graphic>
            <wp14:sizeRelH relativeFrom="margin">
              <wp14:pctWidth>0</wp14:pctWidth>
            </wp14:sizeRelH>
            <wp14:sizeRelV relativeFrom="margin">
              <wp14:pctHeight>0</wp14:pctHeight>
            </wp14:sizeRelV>
          </wp:anchor>
        </w:drawing>
      </w:r>
    </w:p>
    <w:p w:rsidR="0017580C" w:rsidRDefault="0017580C" w:rsidP="0017580C">
      <w:pPr>
        <w:rPr>
          <w:lang w:val="fr-FR"/>
        </w:rPr>
      </w:pPr>
    </w:p>
    <w:p w:rsidR="0017580C" w:rsidRDefault="0017580C" w:rsidP="0017580C">
      <w:pPr>
        <w:rPr>
          <w:lang w:val="fr-FR"/>
        </w:rPr>
      </w:pPr>
    </w:p>
    <w:p w:rsidR="0017580C" w:rsidRDefault="0017580C" w:rsidP="0017580C">
      <w:pPr>
        <w:rPr>
          <w:lang w:val="fr-FR"/>
        </w:rPr>
      </w:pPr>
    </w:p>
    <w:p w:rsidR="0017580C" w:rsidRDefault="0017580C" w:rsidP="0017580C">
      <w:pPr>
        <w:rPr>
          <w:lang w:val="fr-FR"/>
        </w:rPr>
      </w:pPr>
    </w:p>
    <w:p w:rsidR="0017580C" w:rsidRDefault="0017580C" w:rsidP="0017580C">
      <w:pPr>
        <w:rPr>
          <w:lang w:val="fr-FR"/>
        </w:rPr>
      </w:pPr>
    </w:p>
    <w:p w:rsidR="0017580C" w:rsidRDefault="0017580C" w:rsidP="0017580C">
      <w:pPr>
        <w:rPr>
          <w:lang w:val="fr-FR"/>
        </w:rPr>
      </w:pPr>
    </w:p>
    <w:p w:rsidR="0017580C" w:rsidRDefault="0017580C" w:rsidP="0017580C">
      <w:pPr>
        <w:rPr>
          <w:lang w:val="fr-FR"/>
        </w:rPr>
      </w:pPr>
    </w:p>
    <w:p w:rsidR="0017580C" w:rsidRDefault="0017580C" w:rsidP="0017580C">
      <w:pPr>
        <w:rPr>
          <w:lang w:val="fr-FR"/>
        </w:rPr>
      </w:pPr>
    </w:p>
    <w:p w:rsidR="0017580C" w:rsidRDefault="0017580C" w:rsidP="0017580C">
      <w:pPr>
        <w:pStyle w:val="Titre2"/>
        <w:rPr>
          <w:lang w:val="fr-FR"/>
        </w:rPr>
      </w:pPr>
    </w:p>
    <w:p w:rsidR="0017580C" w:rsidRDefault="0017580C" w:rsidP="0017580C">
      <w:pPr>
        <w:pStyle w:val="Titre2"/>
        <w:rPr>
          <w:lang w:val="fr-FR"/>
        </w:rPr>
      </w:pPr>
      <w:r>
        <w:rPr>
          <w:lang w:val="fr-FR"/>
        </w:rPr>
        <w:t>Exigences et contraintes réglementaires des institutions bancaires</w:t>
      </w:r>
    </w:p>
    <w:p w:rsidR="0017580C" w:rsidRPr="00741125" w:rsidRDefault="0017580C" w:rsidP="0017580C">
      <w:pPr>
        <w:rPr>
          <w:lang w:val="fr-FR"/>
        </w:rPr>
      </w:pPr>
      <w:r>
        <w:rPr>
          <w:lang w:val="fr-FR"/>
        </w:rPr>
        <w:t>Les banques doivent se plier à des contraintes réglementaires imposées dans le cadre de l’</w:t>
      </w:r>
      <w:r w:rsidRPr="002E259A">
        <w:rPr>
          <w:i/>
          <w:lang w:val="fr-FR"/>
        </w:rPr>
        <w:t>IRRBB</w:t>
      </w:r>
      <w:r>
        <w:rPr>
          <w:i/>
          <w:lang w:val="fr-FR"/>
        </w:rPr>
        <w:t xml:space="preserve"> : </w:t>
      </w:r>
    </w:p>
    <w:p w:rsidR="0017580C" w:rsidRPr="0017580C" w:rsidRDefault="0017580C" w:rsidP="0017580C">
      <w:pPr>
        <w:pStyle w:val="Paragraphedeliste"/>
        <w:numPr>
          <w:ilvl w:val="0"/>
          <w:numId w:val="3"/>
        </w:numPr>
        <w:rPr>
          <w:lang w:val="fr-FR"/>
        </w:rPr>
      </w:pPr>
      <w:r w:rsidRPr="0017580C">
        <w:rPr>
          <w:lang w:val="fr-FR"/>
        </w:rPr>
        <w:t xml:space="preserve">Elles doivent publier régulièrement les niveaux d’exposition IRRBB notamment les variations ∆EVE et ∆MNI (Marge Nette d’Intérêt). </w:t>
      </w:r>
      <w:r>
        <w:rPr>
          <w:rStyle w:val="Appelnotedebasdep"/>
          <w:rFonts w:cs="Times New Roman"/>
          <w:szCs w:val="24"/>
        </w:rPr>
        <w:footnoteReference w:id="2"/>
      </w:r>
    </w:p>
    <w:p w:rsidR="0017580C" w:rsidRPr="0017580C" w:rsidRDefault="0017580C" w:rsidP="0017580C">
      <w:pPr>
        <w:pStyle w:val="Paragraphedeliste"/>
        <w:numPr>
          <w:ilvl w:val="0"/>
          <w:numId w:val="3"/>
        </w:numPr>
        <w:rPr>
          <w:lang w:val="fr-FR"/>
        </w:rPr>
      </w:pPr>
      <w:r w:rsidRPr="0017580C">
        <w:rPr>
          <w:lang w:val="fr-FR"/>
        </w:rPr>
        <w:t>Les opérations incluant le calcul ∆EVE doivent s’appliquer à un bilan en extinction (Les postes de bilan sont amortis et ne sont pas être remplacés par de nouvelles opérations)</w:t>
      </w:r>
      <w:r w:rsidRPr="0017580C">
        <w:rPr>
          <w:rStyle w:val="Appelnotedebasdep"/>
          <w:rFonts w:cs="Times New Roman"/>
          <w:szCs w:val="24"/>
          <w:lang w:val="fr-FR"/>
        </w:rPr>
        <w:t>3 </w:t>
      </w:r>
    </w:p>
    <w:p w:rsidR="0017580C" w:rsidRPr="0017580C" w:rsidRDefault="0017580C" w:rsidP="0017580C">
      <w:pPr>
        <w:pStyle w:val="Paragraphedeliste"/>
        <w:numPr>
          <w:ilvl w:val="0"/>
          <w:numId w:val="3"/>
        </w:numPr>
        <w:rPr>
          <w:lang w:val="fr-FR"/>
        </w:rPr>
      </w:pPr>
      <w:r w:rsidRPr="0017580C">
        <w:rPr>
          <w:lang w:val="fr-FR"/>
        </w:rPr>
        <w:t>Les fonds propres doivent être exclus du calcul des expositions qui contiennent toutes les opérations Bilan/Hors bilan sensibles aux taux.</w:t>
      </w:r>
      <w:r>
        <w:rPr>
          <w:rStyle w:val="Appelnotedebasdep"/>
          <w:rFonts w:cs="Times New Roman"/>
          <w:szCs w:val="24"/>
        </w:rPr>
        <w:footnoteReference w:id="3"/>
      </w:r>
    </w:p>
    <w:p w:rsidR="0017580C" w:rsidRDefault="00836CAA" w:rsidP="0017580C">
      <w:pPr>
        <w:pStyle w:val="Paragraphedeliste"/>
        <w:numPr>
          <w:ilvl w:val="0"/>
          <w:numId w:val="3"/>
        </w:numPr>
        <w:rPr>
          <w:lang w:val="fr-FR"/>
        </w:rPr>
      </w:pPr>
      <w:r>
        <w:rPr>
          <w:noProof/>
          <w:lang w:eastAsia="fr-FR"/>
        </w:rPr>
        <w:drawing>
          <wp:anchor distT="0" distB="0" distL="114300" distR="114300" simplePos="0" relativeHeight="251645952" behindDoc="0" locked="0" layoutInCell="1" allowOverlap="1" wp14:anchorId="02B79067" wp14:editId="572B6F72">
            <wp:simplePos x="0" y="0"/>
            <wp:positionH relativeFrom="page">
              <wp:posOffset>1249881</wp:posOffset>
            </wp:positionH>
            <wp:positionV relativeFrom="paragraph">
              <wp:posOffset>641601</wp:posOffset>
            </wp:positionV>
            <wp:extent cx="5302885" cy="162052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302885" cy="1620520"/>
                    </a:xfrm>
                    <a:prstGeom prst="rect">
                      <a:avLst/>
                    </a:prstGeom>
                  </pic:spPr>
                </pic:pic>
              </a:graphicData>
            </a:graphic>
            <wp14:sizeRelV relativeFrom="margin">
              <wp14:pctHeight>0</wp14:pctHeight>
            </wp14:sizeRelV>
          </wp:anchor>
        </w:drawing>
      </w:r>
      <w:r w:rsidR="0017580C" w:rsidRPr="0017580C">
        <w:rPr>
          <w:lang w:val="fr-FR"/>
        </w:rPr>
        <w:t>Les institutions bancaires ont l’obligation d’effectuer une comparaison entre le calcul de ∆EVE maximale sur les six scénarii prudentiels (cf ci-dessous) et 15% de la valeur des fonds propres</w:t>
      </w:r>
      <w:r w:rsidR="0017580C">
        <w:rPr>
          <w:rStyle w:val="Appelnotedebasdep"/>
          <w:rFonts w:cs="Times New Roman"/>
          <w:szCs w:val="24"/>
        </w:rPr>
        <w:footnoteReference w:id="4"/>
      </w:r>
    </w:p>
    <w:p w:rsidR="004E4CEF" w:rsidRPr="004E4CEF" w:rsidRDefault="004E4CEF" w:rsidP="004E4CEF">
      <w:pPr>
        <w:rPr>
          <w:lang w:val="fr-FR"/>
        </w:rPr>
      </w:pPr>
    </w:p>
    <w:p w:rsidR="0017580C" w:rsidRDefault="0017580C" w:rsidP="0017580C">
      <w:pPr>
        <w:rPr>
          <w:lang w:val="fr-FR"/>
        </w:rPr>
      </w:pPr>
    </w:p>
    <w:p w:rsidR="0017580C" w:rsidRDefault="0017580C" w:rsidP="0017580C">
      <w:pPr>
        <w:rPr>
          <w:lang w:val="fr-FR"/>
        </w:rPr>
      </w:pPr>
    </w:p>
    <w:p w:rsidR="0017580C" w:rsidRDefault="0017580C" w:rsidP="0017580C">
      <w:pPr>
        <w:rPr>
          <w:lang w:val="fr-FR"/>
        </w:rPr>
      </w:pPr>
    </w:p>
    <w:p w:rsidR="0017580C" w:rsidRDefault="0017580C" w:rsidP="0017580C">
      <w:pPr>
        <w:rPr>
          <w:lang w:val="fr-FR"/>
        </w:rPr>
      </w:pPr>
    </w:p>
    <w:p w:rsidR="00836CAA" w:rsidRDefault="00836CAA" w:rsidP="0017580C">
      <w:pPr>
        <w:rPr>
          <w:lang w:val="fr-FR"/>
        </w:rPr>
      </w:pPr>
    </w:p>
    <w:p w:rsidR="00BE247E" w:rsidRDefault="00BE247E" w:rsidP="0017580C">
      <w:pPr>
        <w:rPr>
          <w:lang w:val="fr-FR"/>
        </w:rPr>
      </w:pPr>
    </w:p>
    <w:p w:rsidR="0017580C" w:rsidRDefault="0017580C" w:rsidP="0017580C">
      <w:pPr>
        <w:pStyle w:val="Titre2"/>
        <w:rPr>
          <w:lang w:val="fr-FR"/>
        </w:rPr>
      </w:pPr>
      <w:r>
        <w:rPr>
          <w:lang w:val="fr-FR"/>
        </w:rPr>
        <w:t xml:space="preserve">Contraintes de calculs : Impasses réelles pour les banques </w:t>
      </w:r>
    </w:p>
    <w:p w:rsidR="0017580C" w:rsidRPr="008D640A" w:rsidRDefault="0017580C" w:rsidP="0017580C">
      <w:pPr>
        <w:rPr>
          <w:lang w:val="fr-FR"/>
        </w:rPr>
      </w:pPr>
      <w:r w:rsidRPr="008D640A">
        <w:rPr>
          <w:lang w:val="fr-FR"/>
        </w:rPr>
        <w:t xml:space="preserve">En pratique, les calculs </w:t>
      </w:r>
      <w:r>
        <w:rPr>
          <w:lang w:val="fr-FR"/>
        </w:rPr>
        <w:t>de l’EVE</w:t>
      </w:r>
      <w:r w:rsidRPr="008D640A">
        <w:rPr>
          <w:lang w:val="fr-FR"/>
        </w:rPr>
        <w:t xml:space="preserve"> présentent plusieurs difficultés pour les banques et ceci est lié aux raisons suivantes : </w:t>
      </w:r>
    </w:p>
    <w:p w:rsidR="0017580C" w:rsidRPr="0017580C" w:rsidRDefault="0017580C" w:rsidP="0017580C">
      <w:pPr>
        <w:pStyle w:val="Paragraphedeliste"/>
        <w:numPr>
          <w:ilvl w:val="0"/>
          <w:numId w:val="4"/>
        </w:numPr>
        <w:rPr>
          <w:lang w:val="fr-FR"/>
        </w:rPr>
      </w:pPr>
      <w:r w:rsidRPr="0017580C">
        <w:rPr>
          <w:lang w:val="fr-FR"/>
        </w:rPr>
        <w:t xml:space="preserve">Prix non observables sur les marchés pour certains produits de bilan (prêts/ créances etc…) </w:t>
      </w:r>
    </w:p>
    <w:p w:rsidR="0017580C" w:rsidRPr="0017580C" w:rsidRDefault="0017580C" w:rsidP="0017580C">
      <w:pPr>
        <w:pStyle w:val="Paragraphedeliste"/>
        <w:numPr>
          <w:ilvl w:val="0"/>
          <w:numId w:val="4"/>
        </w:numPr>
        <w:rPr>
          <w:lang w:val="fr-FR"/>
        </w:rPr>
      </w:pPr>
      <w:r w:rsidRPr="0017580C">
        <w:rPr>
          <w:lang w:val="fr-FR"/>
        </w:rPr>
        <w:t>Les valeurs de marché, lorsqu’elles sont accessibles, peuvent présenter des inexactitudes.</w:t>
      </w:r>
    </w:p>
    <w:p w:rsidR="0017580C" w:rsidRPr="0017580C" w:rsidRDefault="0017580C" w:rsidP="0017580C">
      <w:pPr>
        <w:pStyle w:val="Paragraphedeliste"/>
        <w:numPr>
          <w:ilvl w:val="0"/>
          <w:numId w:val="4"/>
        </w:numPr>
        <w:rPr>
          <w:lang w:val="fr-FR"/>
        </w:rPr>
      </w:pPr>
      <w:r w:rsidRPr="0017580C">
        <w:rPr>
          <w:lang w:val="fr-FR"/>
        </w:rPr>
        <w:t xml:space="preserve">Difficulté de la modélisation du risque comportemental des clients aux variations des taux d’intérêts. </w:t>
      </w:r>
    </w:p>
    <w:p w:rsidR="0017580C" w:rsidRPr="0017580C" w:rsidRDefault="0017580C" w:rsidP="0017580C">
      <w:pPr>
        <w:pStyle w:val="Paragraphedeliste"/>
        <w:rPr>
          <w:lang w:val="fr-FR"/>
        </w:rPr>
      </w:pPr>
    </w:p>
    <w:p w:rsidR="0017580C" w:rsidRPr="003F4539" w:rsidRDefault="0017580C" w:rsidP="0017580C">
      <w:pPr>
        <w:rPr>
          <w:strike/>
          <w:color w:val="FF0000"/>
          <w:lang w:val="fr-FR"/>
        </w:rPr>
      </w:pPr>
      <w:r w:rsidRPr="008D640A">
        <w:rPr>
          <w:lang w:val="fr-FR"/>
        </w:rPr>
        <w:t>Afin de contourner la difficulté des calculs de l’EV</w:t>
      </w:r>
      <w:r>
        <w:rPr>
          <w:lang w:val="fr-FR"/>
        </w:rPr>
        <w:t>E</w:t>
      </w:r>
      <w:r w:rsidRPr="008D640A">
        <w:rPr>
          <w:lang w:val="fr-FR"/>
        </w:rPr>
        <w:t xml:space="preserve"> globale, les banques </w:t>
      </w:r>
      <w:r w:rsidRPr="00E54CB9">
        <w:rPr>
          <w:lang w:val="fr-FR"/>
        </w:rPr>
        <w:t>se limitent à la mesure du changement</w:t>
      </w:r>
      <w:r>
        <w:rPr>
          <w:lang w:val="fr-FR"/>
        </w:rPr>
        <w:t xml:space="preserve"> </w:t>
      </w:r>
      <w:r w:rsidRPr="008D640A">
        <w:rPr>
          <w:lang w:val="fr-FR"/>
        </w:rPr>
        <w:t xml:space="preserve">de la </w:t>
      </w:r>
      <w:r>
        <w:rPr>
          <w:lang w:val="fr-FR"/>
        </w:rPr>
        <w:t>V</w:t>
      </w:r>
      <w:r w:rsidRPr="008D640A">
        <w:rPr>
          <w:lang w:val="fr-FR"/>
        </w:rPr>
        <w:t xml:space="preserve">aleur </w:t>
      </w:r>
      <w:r>
        <w:rPr>
          <w:lang w:val="fr-FR"/>
        </w:rPr>
        <w:t>A</w:t>
      </w:r>
      <w:r w:rsidRPr="008D640A">
        <w:rPr>
          <w:lang w:val="fr-FR"/>
        </w:rPr>
        <w:t xml:space="preserve">ctuelle </w:t>
      </w:r>
      <w:r>
        <w:rPr>
          <w:lang w:val="fr-FR"/>
        </w:rPr>
        <w:t>N</w:t>
      </w:r>
      <w:r w:rsidRPr="008D640A">
        <w:rPr>
          <w:lang w:val="fr-FR"/>
        </w:rPr>
        <w:t xml:space="preserve">ette des produits ayant un impact important. Les variations de valorisation </w:t>
      </w:r>
      <w:r w:rsidRPr="00E54CB9">
        <w:rPr>
          <w:lang w:val="fr-FR"/>
        </w:rPr>
        <w:t>représenteraient</w:t>
      </w:r>
      <w:r>
        <w:rPr>
          <w:lang w:val="fr-FR"/>
        </w:rPr>
        <w:t xml:space="preserve"> </w:t>
      </w:r>
      <w:r w:rsidRPr="00E54CB9">
        <w:rPr>
          <w:lang w:val="fr-FR"/>
        </w:rPr>
        <w:t>dans ce sens</w:t>
      </w:r>
      <w:r>
        <w:rPr>
          <w:lang w:val="fr-FR"/>
        </w:rPr>
        <w:t xml:space="preserve"> </w:t>
      </w:r>
      <w:r w:rsidRPr="008D640A">
        <w:rPr>
          <w:lang w:val="fr-FR"/>
        </w:rPr>
        <w:t xml:space="preserve">le niveau du risque de taux observé dans le cadre du Banking Book. </w:t>
      </w:r>
    </w:p>
    <w:p w:rsidR="0017580C" w:rsidRPr="00E54CB9" w:rsidRDefault="0017580C" w:rsidP="0017580C">
      <w:pPr>
        <w:rPr>
          <w:lang w:val="fr-FR"/>
        </w:rPr>
      </w:pPr>
      <w:r w:rsidRPr="00E54CB9">
        <w:rPr>
          <w:lang w:val="fr-FR"/>
        </w:rPr>
        <w:t>Par ailleurs, l’actualisation des cash-flows n’est pas une méthode suffisante pour quantifier la valorisation d’un produit, pour le démontrer, on peut dire qu’un stress de la courbe des taux peut impacter d’autres paramètres corrélés aux taux comme la volatilité par exemple.</w:t>
      </w:r>
    </w:p>
    <w:p w:rsidR="0017580C" w:rsidRPr="00E54CB9" w:rsidRDefault="0017580C" w:rsidP="0017580C">
      <w:pPr>
        <w:rPr>
          <w:lang w:val="fr-FR"/>
        </w:rPr>
      </w:pPr>
      <w:r w:rsidRPr="00E54CB9">
        <w:rPr>
          <w:lang w:val="fr-FR"/>
        </w:rPr>
        <w:t xml:space="preserve"> D’où le challenge pour les établissements bancaires de mettre en place des méthodes précises pour quantifier correctement la sensibilité aux scénarii de taux des prix des instruments du bilan / Hors Bilan.</w:t>
      </w:r>
    </w:p>
    <w:p w:rsidR="008C3BE1" w:rsidRPr="008C3BE1" w:rsidRDefault="008C3BE1" w:rsidP="0017580C">
      <w:pPr>
        <w:pStyle w:val="Titre2"/>
        <w:rPr>
          <w:lang w:val="fr-FR"/>
        </w:rPr>
      </w:pPr>
    </w:p>
    <w:sectPr w:rsidR="008C3BE1" w:rsidRPr="008C3BE1" w:rsidSect="0080578A">
      <w:headerReference w:type="default" r:id="rId24"/>
      <w:type w:val="continuous"/>
      <w:pgSz w:w="11906" w:h="16838"/>
      <w:pgMar w:top="720" w:right="720" w:bottom="720" w:left="2127" w:header="709" w:footer="709" w:gutter="0"/>
      <w:cols w:space="2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ADA" w:rsidRDefault="00617ADA" w:rsidP="007823F9">
      <w:r>
        <w:separator/>
      </w:r>
    </w:p>
  </w:endnote>
  <w:endnote w:type="continuationSeparator" w:id="0">
    <w:p w:rsidR="00617ADA" w:rsidRDefault="00617ADA" w:rsidP="0078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012247"/>
      <w:docPartObj>
        <w:docPartGallery w:val="Page Numbers (Bottom of Page)"/>
        <w:docPartUnique/>
      </w:docPartObj>
    </w:sdtPr>
    <w:sdtEndPr/>
    <w:sdtContent>
      <w:p w:rsidR="0017580C" w:rsidRDefault="0017580C">
        <w:pPr>
          <w:pStyle w:val="Pieddepage"/>
          <w:jc w:val="right"/>
        </w:pPr>
        <w:r>
          <w:fldChar w:fldCharType="begin"/>
        </w:r>
        <w:r>
          <w:instrText>PAGE   \* MERGEFORMAT</w:instrText>
        </w:r>
        <w:r>
          <w:fldChar w:fldCharType="separate"/>
        </w:r>
        <w:r w:rsidR="00CD76F3" w:rsidRPr="00CD76F3">
          <w:rPr>
            <w:noProof/>
            <w:lang w:val="fr-FR"/>
          </w:rPr>
          <w:t>6</w:t>
        </w:r>
        <w:r>
          <w:fldChar w:fldCharType="end"/>
        </w:r>
      </w:p>
    </w:sdtContent>
  </w:sdt>
  <w:p w:rsidR="0017580C" w:rsidRDefault="001758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ADA" w:rsidRDefault="00617ADA" w:rsidP="007823F9">
      <w:r>
        <w:separator/>
      </w:r>
    </w:p>
  </w:footnote>
  <w:footnote w:type="continuationSeparator" w:id="0">
    <w:p w:rsidR="00617ADA" w:rsidRDefault="00617ADA" w:rsidP="007823F9">
      <w:r>
        <w:continuationSeparator/>
      </w:r>
    </w:p>
  </w:footnote>
  <w:footnote w:id="1">
    <w:p w:rsidR="0017580C" w:rsidRPr="0017580C" w:rsidRDefault="0017580C" w:rsidP="0017580C">
      <w:pPr>
        <w:pStyle w:val="Notedebasdepage"/>
        <w:rPr>
          <w:sz w:val="22"/>
          <w:szCs w:val="22"/>
          <w:lang w:val="fr-FR"/>
        </w:rPr>
      </w:pPr>
      <w:r w:rsidRPr="000E38CA">
        <w:rPr>
          <w:rStyle w:val="Appelnotedebasdep"/>
          <w:sz w:val="22"/>
          <w:szCs w:val="22"/>
        </w:rPr>
        <w:footnoteRef/>
      </w:r>
      <w:r w:rsidRPr="0017580C">
        <w:rPr>
          <w:sz w:val="16"/>
          <w:szCs w:val="16"/>
          <w:lang w:val="fr-FR"/>
        </w:rPr>
        <w:t>Comité de Bâle sur le contrôle bancaire Norme : Risque de taux d’intérêt sur le contrôle bancaire III.98</w:t>
      </w:r>
    </w:p>
  </w:footnote>
  <w:footnote w:id="2">
    <w:p w:rsidR="0017580C" w:rsidRPr="0017580C" w:rsidRDefault="0017580C" w:rsidP="0017580C">
      <w:pPr>
        <w:pStyle w:val="Notedebasdepage"/>
        <w:rPr>
          <w:sz w:val="22"/>
          <w:szCs w:val="22"/>
          <w:lang w:val="fr-FR"/>
        </w:rPr>
      </w:pPr>
      <w:r w:rsidRPr="000E38CA">
        <w:rPr>
          <w:rStyle w:val="Appelnotedebasdep"/>
          <w:sz w:val="22"/>
          <w:szCs w:val="22"/>
        </w:rPr>
        <w:footnoteRef/>
      </w:r>
      <w:r w:rsidRPr="0017580C">
        <w:rPr>
          <w:sz w:val="16"/>
          <w:szCs w:val="16"/>
          <w:lang w:val="fr-FR"/>
        </w:rPr>
        <w:t xml:space="preserve">Comité de Bâle sur le contrôle bancaire Norme : Risque de taux d’intérêt sur le contrôle bancaire Principe 8 </w:t>
      </w:r>
    </w:p>
  </w:footnote>
  <w:footnote w:id="3">
    <w:p w:rsidR="0017580C" w:rsidRPr="0017580C" w:rsidRDefault="0017580C" w:rsidP="0017580C">
      <w:pPr>
        <w:pStyle w:val="Notedebasdepage"/>
        <w:rPr>
          <w:sz w:val="22"/>
          <w:szCs w:val="22"/>
          <w:lang w:val="fr-FR"/>
        </w:rPr>
      </w:pPr>
      <w:r w:rsidRPr="000E38CA">
        <w:rPr>
          <w:rStyle w:val="Appelnotedebasdep"/>
          <w:sz w:val="22"/>
          <w:szCs w:val="22"/>
        </w:rPr>
        <w:footnoteRef/>
      </w:r>
      <w:r w:rsidRPr="0017580C">
        <w:rPr>
          <w:sz w:val="16"/>
          <w:szCs w:val="16"/>
          <w:lang w:val="fr-FR"/>
        </w:rPr>
        <w:t xml:space="preserve">Comité de Bâle sur le contrôle bancaire Norme : Risque de taux d’intérêt sur le contrôle bancaire Principe 8 </w:t>
      </w:r>
    </w:p>
  </w:footnote>
  <w:footnote w:id="4">
    <w:p w:rsidR="0017580C" w:rsidRPr="0017580C" w:rsidRDefault="0017580C" w:rsidP="0017580C">
      <w:pPr>
        <w:pStyle w:val="Notedebasdepage"/>
        <w:rPr>
          <w:sz w:val="22"/>
          <w:szCs w:val="22"/>
          <w:lang w:val="fr-FR"/>
        </w:rPr>
      </w:pPr>
      <w:r w:rsidRPr="000E38CA">
        <w:rPr>
          <w:rStyle w:val="Appelnotedebasdep"/>
          <w:sz w:val="22"/>
          <w:szCs w:val="22"/>
        </w:rPr>
        <w:footnoteRef/>
      </w:r>
      <w:r w:rsidRPr="0017580C">
        <w:rPr>
          <w:sz w:val="16"/>
          <w:szCs w:val="16"/>
          <w:lang w:val="fr-FR"/>
        </w:rPr>
        <w:t>Comité de Bâle sur le contrôle bancaire Norme : Risque de taux d’intérêt sur le contrôle bancaire Principe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80C" w:rsidRDefault="0017580C" w:rsidP="00063E9B">
    <w:pPr>
      <w:pStyle w:val="En-tte"/>
      <w:jc w:val="right"/>
    </w:pPr>
    <w:r>
      <w:rPr>
        <w:noProof/>
        <w:lang w:val="fr-FR" w:eastAsia="fr-FR"/>
      </w:rPr>
      <w:drawing>
        <wp:anchor distT="0" distB="0" distL="114300" distR="114300" simplePos="0" relativeHeight="251662336" behindDoc="1" locked="0" layoutInCell="1" allowOverlap="1" wp14:anchorId="7DFE012B" wp14:editId="147FCB28">
          <wp:simplePos x="0" y="0"/>
          <wp:positionH relativeFrom="column">
            <wp:posOffset>53975</wp:posOffset>
          </wp:positionH>
          <wp:positionV relativeFrom="paragraph">
            <wp:posOffset>-118745</wp:posOffset>
          </wp:positionV>
          <wp:extent cx="1397608" cy="590550"/>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g_lo_h_RVB.jpg"/>
                  <pic:cNvPicPr/>
                </pic:nvPicPr>
                <pic:blipFill>
                  <a:blip r:embed="rId1">
                    <a:extLst>
                      <a:ext uri="{28A0092B-C50C-407E-A947-70E740481C1C}">
                        <a14:useLocalDpi xmlns:a14="http://schemas.microsoft.com/office/drawing/2010/main" val="0"/>
                      </a:ext>
                    </a:extLst>
                  </a:blip>
                  <a:stretch>
                    <a:fillRect/>
                  </a:stretch>
                </pic:blipFill>
                <pic:spPr>
                  <a:xfrm>
                    <a:off x="0" y="0"/>
                    <a:ext cx="1397608" cy="59055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DATE \@ "d MMMM yyyy" </w:instrText>
    </w:r>
    <w:r>
      <w:fldChar w:fldCharType="separate"/>
    </w:r>
    <w:r w:rsidR="002858E6">
      <w:rPr>
        <w:noProof/>
      </w:rPr>
      <w:t>19 February 2018</w:t>
    </w:r>
    <w:r>
      <w:fldChar w:fldCharType="end"/>
    </w:r>
  </w:p>
  <w:p w:rsidR="0017580C" w:rsidRPr="00063E9B" w:rsidRDefault="0017580C" w:rsidP="00063E9B">
    <w:pPr>
      <w:pStyle w:val="En-tte"/>
      <w:jc w:val="right"/>
      <w:rPr>
        <w:b/>
        <w:bCs/>
      </w:rPr>
    </w:pPr>
    <w:r w:rsidRPr="00063E9B">
      <w:rPr>
        <w:b/>
        <w:bCs/>
      </w:rPr>
      <w:t>MPG Institute</w:t>
    </w:r>
  </w:p>
  <w:p w:rsidR="0017580C" w:rsidRPr="00063E9B" w:rsidRDefault="0017580C" w:rsidP="00063E9B">
    <w:pPr>
      <w:pStyle w:val="En-tte"/>
      <w:jc w:val="right"/>
      <w:rPr>
        <w:sz w:val="20"/>
        <w:szCs w:val="20"/>
      </w:rPr>
    </w:pPr>
    <w:r w:rsidRPr="00063E9B">
      <w:rPr>
        <w:sz w:val="20"/>
        <w:szCs w:val="20"/>
      </w:rPr>
      <w:t>www.mpg-partners.com/mpg-institute/</w:t>
    </w:r>
  </w:p>
  <w:p w:rsidR="0017580C" w:rsidRDefault="001758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083" w:rsidRDefault="00E43083" w:rsidP="00063E9B">
    <w:pPr>
      <w:pStyle w:val="En-tte"/>
      <w:jc w:val="right"/>
    </w:pPr>
    <w:r>
      <w:rPr>
        <w:noProof/>
        <w:lang w:val="fr-FR" w:eastAsia="fr-FR"/>
      </w:rPr>
      <w:drawing>
        <wp:anchor distT="0" distB="0" distL="114300" distR="114300" simplePos="0" relativeHeight="251661312" behindDoc="1" locked="0" layoutInCell="1" allowOverlap="1" wp14:anchorId="22F1DB05" wp14:editId="336C06A4">
          <wp:simplePos x="0" y="0"/>
          <wp:positionH relativeFrom="column">
            <wp:posOffset>-1285875</wp:posOffset>
          </wp:positionH>
          <wp:positionV relativeFrom="paragraph">
            <wp:posOffset>-54988</wp:posOffset>
          </wp:positionV>
          <wp:extent cx="1397608" cy="590550"/>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g_lo_h_RVB.jpg"/>
                  <pic:cNvPicPr/>
                </pic:nvPicPr>
                <pic:blipFill>
                  <a:blip r:embed="rId1">
                    <a:extLst>
                      <a:ext uri="{28A0092B-C50C-407E-A947-70E740481C1C}">
                        <a14:useLocalDpi xmlns:a14="http://schemas.microsoft.com/office/drawing/2010/main" val="0"/>
                      </a:ext>
                    </a:extLst>
                  </a:blip>
                  <a:stretch>
                    <a:fillRect/>
                  </a:stretch>
                </pic:blipFill>
                <pic:spPr>
                  <a:xfrm>
                    <a:off x="0" y="0"/>
                    <a:ext cx="1397608" cy="59055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DATE \@ "d MMMM yyyy" </w:instrText>
    </w:r>
    <w:r>
      <w:fldChar w:fldCharType="separate"/>
    </w:r>
    <w:r w:rsidR="002858E6">
      <w:rPr>
        <w:noProof/>
      </w:rPr>
      <w:t>19 February 2018</w:t>
    </w:r>
    <w:r>
      <w:fldChar w:fldCharType="end"/>
    </w:r>
  </w:p>
  <w:p w:rsidR="00E43083" w:rsidRPr="00063E9B" w:rsidRDefault="00E43083" w:rsidP="00063E9B">
    <w:pPr>
      <w:pStyle w:val="En-tte"/>
      <w:jc w:val="right"/>
      <w:rPr>
        <w:b/>
        <w:bCs/>
      </w:rPr>
    </w:pPr>
    <w:r w:rsidRPr="00063E9B">
      <w:rPr>
        <w:b/>
        <w:bCs/>
      </w:rPr>
      <w:t>MPG Institute</w:t>
    </w:r>
  </w:p>
  <w:p w:rsidR="00E43083" w:rsidRPr="00063E9B" w:rsidRDefault="00E43083" w:rsidP="00063E9B">
    <w:pPr>
      <w:pStyle w:val="En-tte"/>
      <w:jc w:val="right"/>
      <w:rPr>
        <w:sz w:val="20"/>
        <w:szCs w:val="20"/>
      </w:rPr>
    </w:pPr>
    <w:r w:rsidRPr="00063E9B">
      <w:rPr>
        <w:sz w:val="20"/>
        <w:szCs w:val="20"/>
      </w:rPr>
      <w:t>www.mpg-partners.com/mpg-institute/</w:t>
    </w:r>
  </w:p>
  <w:p w:rsidR="00E43083" w:rsidRDefault="00E430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7CE"/>
    <w:multiLevelType w:val="hybridMultilevel"/>
    <w:tmpl w:val="2EC20F72"/>
    <w:lvl w:ilvl="0" w:tplc="8C54E5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4C6BF6"/>
    <w:multiLevelType w:val="hybridMultilevel"/>
    <w:tmpl w:val="4F0261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514F0D33"/>
    <w:multiLevelType w:val="hybridMultilevel"/>
    <w:tmpl w:val="960E3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A57701"/>
    <w:multiLevelType w:val="hybridMultilevel"/>
    <w:tmpl w:val="DE74AFC4"/>
    <w:lvl w:ilvl="0" w:tplc="39583A1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0A"/>
    <w:rsid w:val="000031B6"/>
    <w:rsid w:val="00063E9B"/>
    <w:rsid w:val="00072126"/>
    <w:rsid w:val="000A70F0"/>
    <w:rsid w:val="000B3F9E"/>
    <w:rsid w:val="000B5C34"/>
    <w:rsid w:val="000D448E"/>
    <w:rsid w:val="0017580C"/>
    <w:rsid w:val="001E50EC"/>
    <w:rsid w:val="0021623D"/>
    <w:rsid w:val="00217C23"/>
    <w:rsid w:val="00234CB0"/>
    <w:rsid w:val="002513C4"/>
    <w:rsid w:val="002858E6"/>
    <w:rsid w:val="0029705D"/>
    <w:rsid w:val="002B0D19"/>
    <w:rsid w:val="00347CEC"/>
    <w:rsid w:val="00371DB5"/>
    <w:rsid w:val="00371E60"/>
    <w:rsid w:val="003C602E"/>
    <w:rsid w:val="003E1F9A"/>
    <w:rsid w:val="003F43FE"/>
    <w:rsid w:val="00425F54"/>
    <w:rsid w:val="004A08CB"/>
    <w:rsid w:val="004B258A"/>
    <w:rsid w:val="004C55DF"/>
    <w:rsid w:val="004D2641"/>
    <w:rsid w:val="004D2D9E"/>
    <w:rsid w:val="004E4CEF"/>
    <w:rsid w:val="004E76EF"/>
    <w:rsid w:val="004F75D5"/>
    <w:rsid w:val="00500D3E"/>
    <w:rsid w:val="005422A7"/>
    <w:rsid w:val="005540AD"/>
    <w:rsid w:val="00571ED3"/>
    <w:rsid w:val="005B62B8"/>
    <w:rsid w:val="005D649A"/>
    <w:rsid w:val="005F1EA0"/>
    <w:rsid w:val="00617ADA"/>
    <w:rsid w:val="00621355"/>
    <w:rsid w:val="00622FAD"/>
    <w:rsid w:val="00642D88"/>
    <w:rsid w:val="00676311"/>
    <w:rsid w:val="00682596"/>
    <w:rsid w:val="006A2A9E"/>
    <w:rsid w:val="006A47AC"/>
    <w:rsid w:val="006D3DD4"/>
    <w:rsid w:val="006E0F8F"/>
    <w:rsid w:val="006F7BDF"/>
    <w:rsid w:val="00710688"/>
    <w:rsid w:val="00777EEA"/>
    <w:rsid w:val="007823F9"/>
    <w:rsid w:val="007E55D3"/>
    <w:rsid w:val="0080578A"/>
    <w:rsid w:val="00836CAA"/>
    <w:rsid w:val="008654EA"/>
    <w:rsid w:val="00874406"/>
    <w:rsid w:val="008A0207"/>
    <w:rsid w:val="008B6627"/>
    <w:rsid w:val="008C3BE1"/>
    <w:rsid w:val="008F2707"/>
    <w:rsid w:val="00932363"/>
    <w:rsid w:val="009323EC"/>
    <w:rsid w:val="00937E5A"/>
    <w:rsid w:val="00952A96"/>
    <w:rsid w:val="009B7895"/>
    <w:rsid w:val="009C1C07"/>
    <w:rsid w:val="00A019E3"/>
    <w:rsid w:val="00A063DC"/>
    <w:rsid w:val="00A1334A"/>
    <w:rsid w:val="00A30C30"/>
    <w:rsid w:val="00A711E9"/>
    <w:rsid w:val="00A71C0A"/>
    <w:rsid w:val="00AC39C2"/>
    <w:rsid w:val="00B1531F"/>
    <w:rsid w:val="00B25882"/>
    <w:rsid w:val="00B543DB"/>
    <w:rsid w:val="00BD53C2"/>
    <w:rsid w:val="00BD7D17"/>
    <w:rsid w:val="00BE11FC"/>
    <w:rsid w:val="00BE247E"/>
    <w:rsid w:val="00C1133E"/>
    <w:rsid w:val="00C12D4B"/>
    <w:rsid w:val="00C21F55"/>
    <w:rsid w:val="00C44B54"/>
    <w:rsid w:val="00CD2ECC"/>
    <w:rsid w:val="00CD76F3"/>
    <w:rsid w:val="00CF0B3E"/>
    <w:rsid w:val="00D32D26"/>
    <w:rsid w:val="00D47E77"/>
    <w:rsid w:val="00D55C47"/>
    <w:rsid w:val="00D87F0A"/>
    <w:rsid w:val="00DA311C"/>
    <w:rsid w:val="00DB64B6"/>
    <w:rsid w:val="00DB709A"/>
    <w:rsid w:val="00DE3526"/>
    <w:rsid w:val="00E02F35"/>
    <w:rsid w:val="00E43083"/>
    <w:rsid w:val="00E43591"/>
    <w:rsid w:val="00E705C7"/>
    <w:rsid w:val="00EB36AD"/>
    <w:rsid w:val="00EB7C72"/>
    <w:rsid w:val="00EC620E"/>
    <w:rsid w:val="00ED32BA"/>
    <w:rsid w:val="00ED7641"/>
    <w:rsid w:val="00EF1528"/>
    <w:rsid w:val="00F14E67"/>
    <w:rsid w:val="00F33382"/>
    <w:rsid w:val="00F36C45"/>
    <w:rsid w:val="00F51A1F"/>
    <w:rsid w:val="00F53C7F"/>
    <w:rsid w:val="00FF373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C697F0"/>
  <w15:docId w15:val="{0C980D82-75BA-4A10-96BB-877A86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3F9"/>
    <w:rPr>
      <w:lang w:val="en-US"/>
    </w:rPr>
  </w:style>
  <w:style w:type="paragraph" w:styleId="Titre1">
    <w:name w:val="heading 1"/>
    <w:basedOn w:val="Normal"/>
    <w:next w:val="Normal"/>
    <w:link w:val="Titre1Car"/>
    <w:uiPriority w:val="9"/>
    <w:qFormat/>
    <w:rsid w:val="003F43FE"/>
    <w:pPr>
      <w:keepNext/>
      <w:keepLines/>
      <w:spacing w:before="240" w:after="0"/>
      <w:outlineLvl w:val="0"/>
    </w:pPr>
    <w:rPr>
      <w:rFonts w:eastAsiaTheme="majorEastAsia" w:cstheme="minorHAnsi"/>
      <w:b/>
      <w:bCs/>
      <w:color w:val="0073AA"/>
      <w:sz w:val="42"/>
      <w:szCs w:val="42"/>
    </w:rPr>
  </w:style>
  <w:style w:type="paragraph" w:styleId="Titre2">
    <w:name w:val="heading 2"/>
    <w:basedOn w:val="Normal"/>
    <w:next w:val="Normal"/>
    <w:link w:val="Titre2Car"/>
    <w:uiPriority w:val="9"/>
    <w:unhideWhenUsed/>
    <w:qFormat/>
    <w:rsid w:val="003F43FE"/>
    <w:pPr>
      <w:outlineLvl w:val="1"/>
    </w:pPr>
    <w:rPr>
      <w:color w:val="9CC2E5" w:themeColor="accent5" w:themeTint="99"/>
      <w:sz w:val="34"/>
      <w:szCs w:val="3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531F"/>
    <w:pPr>
      <w:tabs>
        <w:tab w:val="center" w:pos="4536"/>
        <w:tab w:val="right" w:pos="9072"/>
      </w:tabs>
      <w:spacing w:after="0" w:line="240" w:lineRule="auto"/>
    </w:pPr>
  </w:style>
  <w:style w:type="character" w:customStyle="1" w:styleId="En-tteCar">
    <w:name w:val="En-tête Car"/>
    <w:basedOn w:val="Policepardfaut"/>
    <w:link w:val="En-tte"/>
    <w:uiPriority w:val="99"/>
    <w:rsid w:val="00B1531F"/>
  </w:style>
  <w:style w:type="paragraph" w:styleId="Pieddepage">
    <w:name w:val="footer"/>
    <w:basedOn w:val="Normal"/>
    <w:link w:val="PieddepageCar"/>
    <w:uiPriority w:val="99"/>
    <w:unhideWhenUsed/>
    <w:rsid w:val="00B153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531F"/>
  </w:style>
  <w:style w:type="character" w:styleId="Lienhypertexte">
    <w:name w:val="Hyperlink"/>
    <w:basedOn w:val="Policepardfaut"/>
    <w:uiPriority w:val="99"/>
    <w:unhideWhenUsed/>
    <w:rsid w:val="00B1531F"/>
    <w:rPr>
      <w:color w:val="0563C1" w:themeColor="hyperlink"/>
      <w:u w:val="single"/>
    </w:rPr>
  </w:style>
  <w:style w:type="character" w:customStyle="1" w:styleId="Mention1">
    <w:name w:val="Mention1"/>
    <w:basedOn w:val="Policepardfaut"/>
    <w:uiPriority w:val="99"/>
    <w:semiHidden/>
    <w:unhideWhenUsed/>
    <w:rsid w:val="00B1531F"/>
    <w:rPr>
      <w:color w:val="2B579A"/>
      <w:shd w:val="clear" w:color="auto" w:fill="E6E6E6"/>
    </w:rPr>
  </w:style>
  <w:style w:type="character" w:customStyle="1" w:styleId="Titre1Car">
    <w:name w:val="Titre 1 Car"/>
    <w:basedOn w:val="Policepardfaut"/>
    <w:link w:val="Titre1"/>
    <w:uiPriority w:val="9"/>
    <w:rsid w:val="003F43FE"/>
    <w:rPr>
      <w:rFonts w:eastAsiaTheme="majorEastAsia" w:cstheme="minorHAnsi"/>
      <w:b/>
      <w:bCs/>
      <w:color w:val="0073AA"/>
      <w:sz w:val="42"/>
      <w:szCs w:val="42"/>
    </w:rPr>
  </w:style>
  <w:style w:type="character" w:customStyle="1" w:styleId="Titre2Car">
    <w:name w:val="Titre 2 Car"/>
    <w:basedOn w:val="Policepardfaut"/>
    <w:link w:val="Titre2"/>
    <w:uiPriority w:val="9"/>
    <w:rsid w:val="003F43FE"/>
    <w:rPr>
      <w:color w:val="9CC2E5" w:themeColor="accent5" w:themeTint="99"/>
      <w:sz w:val="34"/>
      <w:szCs w:val="34"/>
    </w:rPr>
  </w:style>
  <w:style w:type="character" w:styleId="Lienhypertextesuivivisit">
    <w:name w:val="FollowedHyperlink"/>
    <w:basedOn w:val="Policepardfaut"/>
    <w:uiPriority w:val="99"/>
    <w:semiHidden/>
    <w:unhideWhenUsed/>
    <w:rsid w:val="00A71C0A"/>
    <w:rPr>
      <w:color w:val="954F72" w:themeColor="followedHyperlink"/>
      <w:u w:val="single"/>
    </w:rPr>
  </w:style>
  <w:style w:type="paragraph" w:styleId="Textedebulles">
    <w:name w:val="Balloon Text"/>
    <w:basedOn w:val="Normal"/>
    <w:link w:val="TextedebullesCar"/>
    <w:uiPriority w:val="99"/>
    <w:semiHidden/>
    <w:unhideWhenUsed/>
    <w:rsid w:val="005D64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649A"/>
    <w:rPr>
      <w:rFonts w:ascii="Segoe UI" w:hAnsi="Segoe UI" w:cs="Segoe UI"/>
      <w:sz w:val="18"/>
      <w:szCs w:val="18"/>
      <w:lang w:val="en-US"/>
    </w:rPr>
  </w:style>
  <w:style w:type="paragraph" w:styleId="Citationintense">
    <w:name w:val="Intense Quote"/>
    <w:basedOn w:val="Normal"/>
    <w:next w:val="Normal"/>
    <w:link w:val="CitationintenseCar"/>
    <w:uiPriority w:val="30"/>
    <w:qFormat/>
    <w:rsid w:val="00D47E77"/>
    <w:rPr>
      <w:i/>
      <w:iCs/>
      <w:color w:val="0073AA"/>
      <w:szCs w:val="26"/>
    </w:rPr>
  </w:style>
  <w:style w:type="character" w:customStyle="1" w:styleId="CitationintenseCar">
    <w:name w:val="Citation intense Car"/>
    <w:basedOn w:val="Policepardfaut"/>
    <w:link w:val="Citationintense"/>
    <w:uiPriority w:val="30"/>
    <w:rsid w:val="00D47E77"/>
    <w:rPr>
      <w:i/>
      <w:iCs/>
      <w:color w:val="0073AA"/>
      <w:szCs w:val="26"/>
      <w:lang w:val="en-US"/>
    </w:rPr>
  </w:style>
  <w:style w:type="paragraph" w:styleId="Notedebasdepage">
    <w:name w:val="footnote text"/>
    <w:basedOn w:val="Normal"/>
    <w:link w:val="NotedebasdepageCar"/>
    <w:unhideWhenUsed/>
    <w:rsid w:val="00BE11FC"/>
    <w:pPr>
      <w:spacing w:after="0" w:line="240" w:lineRule="auto"/>
    </w:pPr>
    <w:rPr>
      <w:sz w:val="20"/>
      <w:szCs w:val="20"/>
    </w:rPr>
  </w:style>
  <w:style w:type="character" w:customStyle="1" w:styleId="NotedebasdepageCar">
    <w:name w:val="Note de bas de page Car"/>
    <w:basedOn w:val="Policepardfaut"/>
    <w:link w:val="Notedebasdepage"/>
    <w:uiPriority w:val="99"/>
    <w:semiHidden/>
    <w:qFormat/>
    <w:rsid w:val="00BE11FC"/>
    <w:rPr>
      <w:sz w:val="20"/>
      <w:szCs w:val="20"/>
      <w:lang w:val="en-US"/>
    </w:rPr>
  </w:style>
  <w:style w:type="character" w:styleId="Appelnotedebasdep">
    <w:name w:val="footnote reference"/>
    <w:basedOn w:val="Policepardfaut"/>
    <w:uiPriority w:val="99"/>
    <w:semiHidden/>
    <w:unhideWhenUsed/>
    <w:qFormat/>
    <w:rsid w:val="00BE11FC"/>
    <w:rPr>
      <w:vertAlign w:val="superscript"/>
    </w:rPr>
  </w:style>
  <w:style w:type="paragraph" w:styleId="Paragraphedeliste">
    <w:name w:val="List Paragraph"/>
    <w:basedOn w:val="Normal"/>
    <w:uiPriority w:val="34"/>
    <w:qFormat/>
    <w:rsid w:val="00DA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G%20PARTNERS\Google%20Drive\Joachim%20EDERY\Publication\Contenant\Template%20v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0750-BA12-40FD-A6EE-DA5AC37A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v4</Template>
  <TotalTime>1</TotalTime>
  <Pages>7</Pages>
  <Words>1428</Words>
  <Characters>7858</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Charaf LOUHMADI</dc:creator>
  <cp:keywords/>
  <dc:description/>
  <cp:lastModifiedBy>MPG PARTNERS</cp:lastModifiedBy>
  <cp:revision>2</cp:revision>
  <cp:lastPrinted>2017-06-12T09:27:00Z</cp:lastPrinted>
  <dcterms:created xsi:type="dcterms:W3CDTF">2018-02-19T15:56:00Z</dcterms:created>
  <dcterms:modified xsi:type="dcterms:W3CDTF">2018-02-19T15:56:00Z</dcterms:modified>
</cp:coreProperties>
</file>